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60" w:rsidRPr="0018553A" w:rsidRDefault="003A6BED" w:rsidP="001855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553A">
        <w:rPr>
          <w:rFonts w:ascii="Times New Roman" w:hAnsi="Times New Roman" w:cs="Times New Roman"/>
          <w:i/>
          <w:sz w:val="24"/>
          <w:szCs w:val="24"/>
        </w:rPr>
        <w:t>Against Timarchus</w:t>
      </w:r>
      <w:r w:rsidRPr="0018553A">
        <w:rPr>
          <w:rFonts w:ascii="Times New Roman" w:hAnsi="Times New Roman" w:cs="Times New Roman"/>
          <w:sz w:val="24"/>
          <w:szCs w:val="24"/>
        </w:rPr>
        <w:t>...and Demosthenes: Anti-rhetorical Strategy in Aeschines 1</w:t>
      </w:r>
    </w:p>
    <w:p w:rsidR="007644B5" w:rsidRPr="0018553A" w:rsidRDefault="003A6BED" w:rsidP="001855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53A">
        <w:rPr>
          <w:rFonts w:ascii="Times New Roman" w:hAnsi="Times New Roman" w:cs="Times New Roman"/>
          <w:sz w:val="24"/>
          <w:szCs w:val="24"/>
        </w:rPr>
        <w:t>Aeschines’ speech against T</w:t>
      </w:r>
      <w:r w:rsidR="00FB5F76" w:rsidRPr="0018553A">
        <w:rPr>
          <w:rFonts w:ascii="Times New Roman" w:hAnsi="Times New Roman" w:cs="Times New Roman"/>
          <w:sz w:val="24"/>
          <w:szCs w:val="24"/>
        </w:rPr>
        <w:t xml:space="preserve">imarchus </w:t>
      </w:r>
      <w:r w:rsidR="00F70A0E" w:rsidRPr="0018553A">
        <w:rPr>
          <w:rFonts w:ascii="Times New Roman" w:hAnsi="Times New Roman" w:cs="Times New Roman"/>
          <w:sz w:val="24"/>
          <w:szCs w:val="24"/>
        </w:rPr>
        <w:t xml:space="preserve">has </w:t>
      </w:r>
      <w:r w:rsidR="007644B5" w:rsidRPr="0018553A">
        <w:rPr>
          <w:rFonts w:ascii="Times New Roman" w:hAnsi="Times New Roman" w:cs="Times New Roman"/>
          <w:sz w:val="24"/>
          <w:szCs w:val="24"/>
        </w:rPr>
        <w:t>been criticized for its lack of structure</w:t>
      </w:r>
      <w:r w:rsidR="005B431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644B5" w:rsidRPr="0018553A">
        <w:rPr>
          <w:rFonts w:ascii="Times New Roman" w:hAnsi="Times New Roman" w:cs="Times New Roman"/>
          <w:sz w:val="24"/>
          <w:szCs w:val="24"/>
        </w:rPr>
        <w:t xml:space="preserve"> and its focused legalism.</w:t>
      </w:r>
      <w:r w:rsidR="007644B5" w:rsidRPr="0018553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7644B5" w:rsidRPr="0018553A">
        <w:rPr>
          <w:rFonts w:ascii="Times New Roman" w:hAnsi="Times New Roman" w:cs="Times New Roman"/>
          <w:sz w:val="24"/>
          <w:szCs w:val="24"/>
        </w:rPr>
        <w:t xml:space="preserve">  Sc</w:t>
      </w:r>
      <w:r w:rsidR="00AB2417">
        <w:rPr>
          <w:rFonts w:ascii="Times New Roman" w:hAnsi="Times New Roman" w:cs="Times New Roman"/>
          <w:sz w:val="24"/>
          <w:szCs w:val="24"/>
        </w:rPr>
        <w:t>holarship in t</w:t>
      </w:r>
      <w:r w:rsidR="00BB7162">
        <w:rPr>
          <w:rFonts w:ascii="Times New Roman" w:hAnsi="Times New Roman" w:cs="Times New Roman"/>
          <w:sz w:val="24"/>
          <w:szCs w:val="24"/>
        </w:rPr>
        <w:t>urn has concentrated on</w:t>
      </w:r>
      <w:r w:rsidR="007644B5" w:rsidRPr="0018553A">
        <w:rPr>
          <w:rFonts w:ascii="Times New Roman" w:hAnsi="Times New Roman" w:cs="Times New Roman"/>
          <w:sz w:val="24"/>
          <w:szCs w:val="24"/>
        </w:rPr>
        <w:t xml:space="preserve"> </w:t>
      </w:r>
      <w:r w:rsidR="00BB7162">
        <w:rPr>
          <w:rFonts w:ascii="Times New Roman" w:hAnsi="Times New Roman" w:cs="Times New Roman"/>
          <w:sz w:val="24"/>
          <w:szCs w:val="24"/>
        </w:rPr>
        <w:t>Aeschines’ strategy</w:t>
      </w:r>
      <w:r w:rsidR="007644B5" w:rsidRPr="0018553A">
        <w:rPr>
          <w:rFonts w:ascii="Times New Roman" w:hAnsi="Times New Roman" w:cs="Times New Roman"/>
          <w:sz w:val="24"/>
          <w:szCs w:val="24"/>
        </w:rPr>
        <w:t xml:space="preserve"> </w:t>
      </w:r>
      <w:r w:rsidR="00BB7162">
        <w:rPr>
          <w:rFonts w:ascii="Times New Roman" w:hAnsi="Times New Roman" w:cs="Times New Roman"/>
          <w:sz w:val="24"/>
          <w:szCs w:val="24"/>
        </w:rPr>
        <w:t xml:space="preserve">of citing moralizing laws </w:t>
      </w:r>
      <w:r w:rsidR="00294A4F">
        <w:rPr>
          <w:rFonts w:ascii="Times New Roman" w:hAnsi="Times New Roman" w:cs="Times New Roman"/>
          <w:sz w:val="24"/>
          <w:szCs w:val="24"/>
        </w:rPr>
        <w:t xml:space="preserve">coupled with a </w:t>
      </w:r>
      <w:r w:rsidR="007644B5" w:rsidRPr="0018553A">
        <w:rPr>
          <w:rFonts w:ascii="Times New Roman" w:hAnsi="Times New Roman" w:cs="Times New Roman"/>
          <w:sz w:val="24"/>
          <w:szCs w:val="24"/>
        </w:rPr>
        <w:t>studied attack on Timarchus’ lifestyle.</w:t>
      </w:r>
      <w:r w:rsidR="007644B5" w:rsidRPr="0018553A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  But discussion of</w:t>
      </w:r>
      <w:r w:rsidR="00294A4F">
        <w:rPr>
          <w:rFonts w:ascii="Times New Roman" w:hAnsi="Times New Roman" w:cs="Times New Roman"/>
          <w:sz w:val="24"/>
          <w:szCs w:val="24"/>
        </w:rPr>
        <w:t xml:space="preserve"> the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 strategy and structure of </w:t>
      </w:r>
      <w:r w:rsidR="00294A4F">
        <w:rPr>
          <w:rFonts w:ascii="Times New Roman" w:hAnsi="Times New Roman" w:cs="Times New Roman"/>
          <w:sz w:val="24"/>
          <w:szCs w:val="24"/>
        </w:rPr>
        <w:t xml:space="preserve">Aeschines’ 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speech must </w:t>
      </w:r>
      <w:r w:rsidR="002A33C7">
        <w:rPr>
          <w:rFonts w:ascii="Times New Roman" w:hAnsi="Times New Roman" w:cs="Times New Roman"/>
          <w:sz w:val="24"/>
          <w:szCs w:val="24"/>
        </w:rPr>
        <w:t xml:space="preserve">also </w:t>
      </w:r>
      <w:r w:rsidR="00896DFE" w:rsidRPr="0018553A">
        <w:rPr>
          <w:rFonts w:ascii="Times New Roman" w:hAnsi="Times New Roman" w:cs="Times New Roman"/>
          <w:sz w:val="24"/>
          <w:szCs w:val="24"/>
        </w:rPr>
        <w:t>take into consideration the</w:t>
      </w:r>
      <w:r w:rsidR="00AB2417">
        <w:rPr>
          <w:rFonts w:ascii="Times New Roman" w:hAnsi="Times New Roman" w:cs="Times New Roman"/>
          <w:sz w:val="24"/>
          <w:szCs w:val="24"/>
        </w:rPr>
        <w:t xml:space="preserve"> topos of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 anti-rhetoric that pervades his oration.  </w:t>
      </w:r>
      <w:r w:rsidR="00BB7162">
        <w:rPr>
          <w:rFonts w:ascii="Times New Roman" w:hAnsi="Times New Roman" w:cs="Times New Roman"/>
          <w:sz w:val="24"/>
          <w:szCs w:val="24"/>
        </w:rPr>
        <w:t xml:space="preserve">I argue that 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Aeschines’ </w:t>
      </w:r>
      <w:r w:rsidR="00BB7162">
        <w:rPr>
          <w:rFonts w:ascii="Times New Roman" w:hAnsi="Times New Roman" w:cs="Times New Roman"/>
          <w:sz w:val="24"/>
          <w:szCs w:val="24"/>
        </w:rPr>
        <w:t xml:space="preserve">strategy of </w:t>
      </w:r>
      <w:r w:rsidR="00896DFE" w:rsidRPr="0018553A">
        <w:rPr>
          <w:rFonts w:ascii="Times New Roman" w:hAnsi="Times New Roman" w:cs="Times New Roman"/>
          <w:sz w:val="24"/>
          <w:szCs w:val="24"/>
        </w:rPr>
        <w:t>attack</w:t>
      </w:r>
      <w:r w:rsidR="00BB7162">
        <w:rPr>
          <w:rFonts w:ascii="Times New Roman" w:hAnsi="Times New Roman" w:cs="Times New Roman"/>
          <w:sz w:val="24"/>
          <w:szCs w:val="24"/>
        </w:rPr>
        <w:t>ing T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imarchus’ immorality is inseparably bound </w:t>
      </w:r>
      <w:r w:rsidR="00BB7162">
        <w:rPr>
          <w:rFonts w:ascii="Times New Roman" w:hAnsi="Times New Roman" w:cs="Times New Roman"/>
          <w:sz w:val="24"/>
          <w:szCs w:val="24"/>
        </w:rPr>
        <w:t>to his assault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 on rhetoric and its embodiment, Demosthenes.</w:t>
      </w:r>
      <w:r w:rsidR="00BB7162">
        <w:rPr>
          <w:rFonts w:ascii="Times New Roman" w:hAnsi="Times New Roman" w:cs="Times New Roman"/>
          <w:sz w:val="24"/>
          <w:szCs w:val="24"/>
        </w:rPr>
        <w:t xml:space="preserve">  </w:t>
      </w:r>
      <w:r w:rsidR="002A33C7">
        <w:rPr>
          <w:rFonts w:ascii="Times New Roman" w:hAnsi="Times New Roman" w:cs="Times New Roman"/>
          <w:sz w:val="24"/>
          <w:szCs w:val="24"/>
        </w:rPr>
        <w:t>Examination</w:t>
      </w:r>
      <w:r w:rsidR="00BB7162">
        <w:rPr>
          <w:rFonts w:ascii="Times New Roman" w:hAnsi="Times New Roman" w:cs="Times New Roman"/>
          <w:sz w:val="24"/>
          <w:szCs w:val="24"/>
        </w:rPr>
        <w:t xml:space="preserve"> of this connection reveals an artful unity and structure in his speech.</w:t>
      </w:r>
    </w:p>
    <w:p w:rsidR="00896DFE" w:rsidRPr="0018553A" w:rsidRDefault="00B54DE9" w:rsidP="001855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53A">
        <w:rPr>
          <w:rFonts w:ascii="Times New Roman" w:hAnsi="Times New Roman" w:cs="Times New Roman"/>
          <w:sz w:val="24"/>
          <w:szCs w:val="24"/>
        </w:rPr>
        <w:t xml:space="preserve">The case against Timarchus was a case of self-defense, as Aeschines </w:t>
      </w:r>
      <w:r w:rsidR="00294A4F">
        <w:rPr>
          <w:rFonts w:ascii="Times New Roman" w:hAnsi="Times New Roman" w:cs="Times New Roman"/>
          <w:sz w:val="24"/>
          <w:szCs w:val="24"/>
        </w:rPr>
        <w:t>by his own admission was striving</w:t>
      </w:r>
      <w:r w:rsidRPr="0018553A">
        <w:rPr>
          <w:rFonts w:ascii="Times New Roman" w:hAnsi="Times New Roman" w:cs="Times New Roman"/>
          <w:sz w:val="24"/>
          <w:szCs w:val="24"/>
        </w:rPr>
        <w:t xml:space="preserve"> to discredit the men who were challenging him at his </w:t>
      </w:r>
      <w:r w:rsidRPr="0018553A">
        <w:rPr>
          <w:rFonts w:ascii="Times New Roman" w:hAnsi="Times New Roman" w:cs="Times New Roman"/>
          <w:i/>
          <w:sz w:val="24"/>
          <w:szCs w:val="24"/>
        </w:rPr>
        <w:t>euthynai</w:t>
      </w:r>
      <w:r w:rsidR="00294A4F">
        <w:rPr>
          <w:rFonts w:ascii="Times New Roman" w:hAnsi="Times New Roman" w:cs="Times New Roman"/>
          <w:sz w:val="24"/>
          <w:szCs w:val="24"/>
        </w:rPr>
        <w:t xml:space="preserve"> (1-3).  Thus</w:t>
      </w:r>
      <w:r w:rsidRPr="0018553A">
        <w:rPr>
          <w:rFonts w:ascii="Times New Roman" w:hAnsi="Times New Roman" w:cs="Times New Roman"/>
          <w:sz w:val="24"/>
          <w:szCs w:val="24"/>
        </w:rPr>
        <w:t xml:space="preserve"> both Timarchus and Demosthenes are the targets.  A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eschines from the beginning of his speech opposes himself to Timarchus (and by extension, Demosthenes) by posing as an </w:t>
      </w:r>
      <w:r w:rsidR="00896DFE" w:rsidRPr="0018553A">
        <w:rPr>
          <w:rFonts w:ascii="Times New Roman" w:hAnsi="Times New Roman" w:cs="Times New Roman"/>
          <w:i/>
          <w:sz w:val="24"/>
          <w:szCs w:val="24"/>
        </w:rPr>
        <w:t>idiotes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, </w:t>
      </w:r>
      <w:r w:rsidR="00294A4F">
        <w:rPr>
          <w:rFonts w:ascii="Times New Roman" w:hAnsi="Times New Roman" w:cs="Times New Roman"/>
          <w:sz w:val="24"/>
          <w:szCs w:val="24"/>
        </w:rPr>
        <w:t xml:space="preserve">as opposed to 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the </w:t>
      </w:r>
      <w:r w:rsidR="00896DFE" w:rsidRPr="0018553A">
        <w:rPr>
          <w:rFonts w:ascii="Times New Roman" w:hAnsi="Times New Roman" w:cs="Times New Roman"/>
          <w:i/>
          <w:sz w:val="24"/>
          <w:szCs w:val="24"/>
        </w:rPr>
        <w:t>rhetores</w:t>
      </w:r>
      <w:r w:rsidR="00A35E25">
        <w:rPr>
          <w:rFonts w:ascii="Times New Roman" w:hAnsi="Times New Roman" w:cs="Times New Roman"/>
          <w:sz w:val="24"/>
          <w:szCs w:val="24"/>
        </w:rPr>
        <w:t>, pointing to his inexperience in court and his private reasons for prosecuting</w:t>
      </w:r>
      <w:r w:rsidR="00896DFE" w:rsidRPr="0018553A">
        <w:rPr>
          <w:rFonts w:ascii="Times New Roman" w:hAnsi="Times New Roman" w:cs="Times New Roman"/>
          <w:sz w:val="24"/>
          <w:szCs w:val="24"/>
        </w:rPr>
        <w:t>.</w:t>
      </w:r>
      <w:r w:rsidR="007A1A20" w:rsidRPr="0018553A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  By repeatedly opposing </w:t>
      </w:r>
      <w:r w:rsidR="00896DFE" w:rsidRPr="0018553A">
        <w:rPr>
          <w:rFonts w:ascii="Times New Roman" w:hAnsi="Times New Roman" w:cs="Times New Roman"/>
          <w:i/>
          <w:sz w:val="24"/>
          <w:szCs w:val="24"/>
        </w:rPr>
        <w:t xml:space="preserve">idiotes 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to </w:t>
      </w:r>
      <w:r w:rsidR="00896DFE" w:rsidRPr="0018553A">
        <w:rPr>
          <w:rFonts w:ascii="Times New Roman" w:hAnsi="Times New Roman" w:cs="Times New Roman"/>
          <w:i/>
          <w:sz w:val="24"/>
          <w:szCs w:val="24"/>
        </w:rPr>
        <w:t>rhetor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 in his introduction and </w:t>
      </w:r>
      <w:r w:rsidR="00294A4F">
        <w:rPr>
          <w:rFonts w:ascii="Times New Roman" w:hAnsi="Times New Roman" w:cs="Times New Roman"/>
          <w:sz w:val="24"/>
          <w:szCs w:val="24"/>
        </w:rPr>
        <w:t xml:space="preserve">his </w:t>
      </w:r>
      <w:r w:rsidR="00896DFE" w:rsidRPr="0018553A">
        <w:rPr>
          <w:rFonts w:ascii="Times New Roman" w:hAnsi="Times New Roman" w:cs="Times New Roman"/>
          <w:sz w:val="24"/>
          <w:szCs w:val="24"/>
        </w:rPr>
        <w:t>citation of the laws</w:t>
      </w:r>
      <w:r w:rsidR="007A1A20" w:rsidRPr="0018553A">
        <w:rPr>
          <w:rFonts w:ascii="Times New Roman" w:hAnsi="Times New Roman" w:cs="Times New Roman"/>
          <w:sz w:val="24"/>
          <w:szCs w:val="24"/>
        </w:rPr>
        <w:t xml:space="preserve"> (1-36)</w:t>
      </w:r>
      <w:r w:rsidR="00896DFE" w:rsidRPr="0018553A">
        <w:rPr>
          <w:rFonts w:ascii="Times New Roman" w:hAnsi="Times New Roman" w:cs="Times New Roman"/>
          <w:sz w:val="24"/>
          <w:szCs w:val="24"/>
        </w:rPr>
        <w:t xml:space="preserve">, he builds an anti-rhetorical foundation from which to attack the </w:t>
      </w:r>
      <w:r w:rsidR="00896DFE" w:rsidRPr="0018553A">
        <w:rPr>
          <w:rFonts w:ascii="Times New Roman" w:hAnsi="Times New Roman" w:cs="Times New Roman"/>
          <w:i/>
          <w:sz w:val="24"/>
          <w:szCs w:val="24"/>
        </w:rPr>
        <w:t>rhetor</w:t>
      </w:r>
      <w:r w:rsidR="00392E9E">
        <w:rPr>
          <w:rFonts w:ascii="Times New Roman" w:hAnsi="Times New Roman" w:cs="Times New Roman"/>
          <w:i/>
          <w:sz w:val="24"/>
          <w:szCs w:val="24"/>
        </w:rPr>
        <w:t>es</w:t>
      </w:r>
      <w:r w:rsidR="00896DFE" w:rsidRPr="001855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6DFE" w:rsidRPr="0018553A">
        <w:rPr>
          <w:rFonts w:ascii="Times New Roman" w:hAnsi="Times New Roman" w:cs="Times New Roman"/>
          <w:sz w:val="24"/>
          <w:szCs w:val="24"/>
        </w:rPr>
        <w:t>Timarchus</w:t>
      </w:r>
      <w:r w:rsidR="00392E9E">
        <w:rPr>
          <w:rFonts w:ascii="Times New Roman" w:hAnsi="Times New Roman" w:cs="Times New Roman"/>
          <w:sz w:val="24"/>
          <w:szCs w:val="24"/>
        </w:rPr>
        <w:t xml:space="preserve"> and</w:t>
      </w:r>
      <w:r w:rsidR="00A35E25">
        <w:rPr>
          <w:rFonts w:ascii="Times New Roman" w:hAnsi="Times New Roman" w:cs="Times New Roman"/>
          <w:sz w:val="24"/>
          <w:szCs w:val="24"/>
        </w:rPr>
        <w:t xml:space="preserve"> Demosthenes</w:t>
      </w:r>
      <w:r w:rsidR="00337D8D">
        <w:rPr>
          <w:rFonts w:ascii="Times New Roman" w:hAnsi="Times New Roman" w:cs="Times New Roman"/>
          <w:sz w:val="24"/>
          <w:szCs w:val="24"/>
        </w:rPr>
        <w:t xml:space="preserve"> (1-3, 5, 7-8, 18-20, 24, 26-27, 31-32)</w:t>
      </w:r>
      <w:r w:rsidR="00896DFE" w:rsidRPr="0018553A">
        <w:rPr>
          <w:rFonts w:ascii="Times New Roman" w:hAnsi="Times New Roman" w:cs="Times New Roman"/>
          <w:sz w:val="24"/>
          <w:szCs w:val="24"/>
        </w:rPr>
        <w:t>.</w:t>
      </w:r>
      <w:r w:rsidRPr="0018553A">
        <w:rPr>
          <w:rFonts w:ascii="Times New Roman" w:hAnsi="Times New Roman" w:cs="Times New Roman"/>
          <w:sz w:val="24"/>
          <w:szCs w:val="24"/>
        </w:rPr>
        <w:t xml:space="preserve">  Though </w:t>
      </w:r>
      <w:r w:rsidR="00DA3C33">
        <w:rPr>
          <w:rFonts w:ascii="Times New Roman" w:hAnsi="Times New Roman" w:cs="Times New Roman"/>
          <w:sz w:val="24"/>
          <w:szCs w:val="24"/>
        </w:rPr>
        <w:t>it has been a</w:t>
      </w:r>
      <w:r w:rsidR="00294A4F">
        <w:rPr>
          <w:rFonts w:ascii="Times New Roman" w:hAnsi="Times New Roman" w:cs="Times New Roman"/>
          <w:sz w:val="24"/>
          <w:szCs w:val="24"/>
        </w:rPr>
        <w:t>rgu</w:t>
      </w:r>
      <w:r w:rsidR="00DA3C33">
        <w:rPr>
          <w:rFonts w:ascii="Times New Roman" w:hAnsi="Times New Roman" w:cs="Times New Roman"/>
          <w:sz w:val="24"/>
          <w:szCs w:val="24"/>
        </w:rPr>
        <w:t xml:space="preserve">ed </w:t>
      </w:r>
      <w:r w:rsidRPr="0018553A">
        <w:rPr>
          <w:rFonts w:ascii="Times New Roman" w:hAnsi="Times New Roman" w:cs="Times New Roman"/>
          <w:sz w:val="24"/>
          <w:szCs w:val="24"/>
        </w:rPr>
        <w:t>that Aeschines fails to mention his own political role in this speech because of his precarious political situation</w:t>
      </w:r>
      <w:r w:rsidRPr="0018553A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18553A">
        <w:rPr>
          <w:rFonts w:ascii="Times New Roman" w:hAnsi="Times New Roman" w:cs="Times New Roman"/>
          <w:sz w:val="24"/>
          <w:szCs w:val="24"/>
        </w:rPr>
        <w:t xml:space="preserve"> or out of pure shallowness</w:t>
      </w:r>
      <w:r w:rsidRPr="0018553A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18553A">
        <w:rPr>
          <w:rFonts w:ascii="Times New Roman" w:hAnsi="Times New Roman" w:cs="Times New Roman"/>
          <w:sz w:val="24"/>
          <w:szCs w:val="24"/>
        </w:rPr>
        <w:t xml:space="preserve">, his lack of political argumentation is readily understandable as a further rhetorical strategy to keep up the persona of a private citizen as he attacks the rhetoric of public speakers.  </w:t>
      </w:r>
    </w:p>
    <w:p w:rsidR="00896DFE" w:rsidRPr="0018553A" w:rsidRDefault="00896DFE" w:rsidP="001855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53A">
        <w:rPr>
          <w:rFonts w:ascii="Times New Roman" w:hAnsi="Times New Roman" w:cs="Times New Roman"/>
          <w:sz w:val="24"/>
          <w:szCs w:val="24"/>
        </w:rPr>
        <w:t>But his narration of Timarchus</w:t>
      </w:r>
      <w:r w:rsidR="007A1A20" w:rsidRPr="0018553A">
        <w:rPr>
          <w:rFonts w:ascii="Times New Roman" w:hAnsi="Times New Roman" w:cs="Times New Roman"/>
          <w:sz w:val="24"/>
          <w:szCs w:val="24"/>
        </w:rPr>
        <w:t>’ malfeasance (37-116)</w:t>
      </w:r>
      <w:r w:rsidR="00543213" w:rsidRPr="0018553A">
        <w:rPr>
          <w:rFonts w:ascii="Times New Roman" w:hAnsi="Times New Roman" w:cs="Times New Roman"/>
          <w:sz w:val="24"/>
          <w:szCs w:val="24"/>
        </w:rPr>
        <w:t xml:space="preserve"> focuses on</w:t>
      </w:r>
      <w:r w:rsidRPr="0018553A">
        <w:rPr>
          <w:rFonts w:ascii="Times New Roman" w:hAnsi="Times New Roman" w:cs="Times New Roman"/>
          <w:sz w:val="24"/>
          <w:szCs w:val="24"/>
        </w:rPr>
        <w:t xml:space="preserve"> Timarchus the </w:t>
      </w:r>
      <w:r w:rsidR="00543213" w:rsidRPr="0018553A">
        <w:rPr>
          <w:rFonts w:ascii="Times New Roman" w:hAnsi="Times New Roman" w:cs="Times New Roman"/>
          <w:i/>
          <w:sz w:val="24"/>
          <w:szCs w:val="24"/>
        </w:rPr>
        <w:t>rhetor</w:t>
      </w:r>
      <w:r w:rsidR="00543213" w:rsidRPr="0018553A">
        <w:rPr>
          <w:rFonts w:ascii="Times New Roman" w:hAnsi="Times New Roman" w:cs="Times New Roman"/>
          <w:sz w:val="24"/>
          <w:szCs w:val="24"/>
        </w:rPr>
        <w:t xml:space="preserve"> for only a short time (106-115) and even here does not attack his rhetoric.</w:t>
      </w:r>
      <w:r w:rsidRPr="0018553A">
        <w:rPr>
          <w:rFonts w:ascii="Times New Roman" w:hAnsi="Times New Roman" w:cs="Times New Roman"/>
          <w:sz w:val="24"/>
          <w:szCs w:val="24"/>
        </w:rPr>
        <w:t xml:space="preserve"> Aeschines must</w:t>
      </w:r>
      <w:r w:rsidR="00294A4F">
        <w:rPr>
          <w:rFonts w:ascii="Times New Roman" w:hAnsi="Times New Roman" w:cs="Times New Roman"/>
          <w:sz w:val="24"/>
          <w:szCs w:val="24"/>
        </w:rPr>
        <w:t xml:space="preserve"> therefore </w:t>
      </w:r>
      <w:r w:rsidRPr="0018553A">
        <w:rPr>
          <w:rFonts w:ascii="Times New Roman" w:hAnsi="Times New Roman" w:cs="Times New Roman"/>
          <w:sz w:val="24"/>
          <w:szCs w:val="24"/>
        </w:rPr>
        <w:t>continually remind the jurors of the dangers of rhetoric</w:t>
      </w:r>
      <w:r w:rsidR="00C83F08" w:rsidRPr="0018553A">
        <w:rPr>
          <w:rFonts w:ascii="Times New Roman" w:hAnsi="Times New Roman" w:cs="Times New Roman"/>
          <w:sz w:val="24"/>
          <w:szCs w:val="24"/>
        </w:rPr>
        <w:t xml:space="preserve"> even during the narration</w:t>
      </w:r>
      <w:r w:rsidRPr="0018553A">
        <w:rPr>
          <w:rFonts w:ascii="Times New Roman" w:hAnsi="Times New Roman" w:cs="Times New Roman"/>
          <w:sz w:val="24"/>
          <w:szCs w:val="24"/>
        </w:rPr>
        <w:t>, ushering in Demosthenes’ defense and Demosthenes himself as a manipulator of speech</w:t>
      </w:r>
      <w:r w:rsidR="00543213" w:rsidRPr="0018553A">
        <w:rPr>
          <w:rFonts w:ascii="Times New Roman" w:hAnsi="Times New Roman" w:cs="Times New Roman"/>
          <w:sz w:val="24"/>
          <w:szCs w:val="24"/>
        </w:rPr>
        <w:t xml:space="preserve"> (71-73; 94)</w:t>
      </w:r>
      <w:r w:rsidR="00294A4F">
        <w:rPr>
          <w:rFonts w:ascii="Times New Roman" w:hAnsi="Times New Roman" w:cs="Times New Roman"/>
          <w:sz w:val="24"/>
          <w:szCs w:val="24"/>
        </w:rPr>
        <w:t xml:space="preserve">. In this way, Aeschines links </w:t>
      </w:r>
      <w:r w:rsidRPr="0018553A">
        <w:rPr>
          <w:rFonts w:ascii="Times New Roman" w:hAnsi="Times New Roman" w:cs="Times New Roman"/>
          <w:sz w:val="24"/>
          <w:szCs w:val="24"/>
        </w:rPr>
        <w:t>immorality and rhetoric and at the same time impresses on the jurors’ minds the practical</w:t>
      </w:r>
      <w:r w:rsidR="0050297B" w:rsidRPr="0018553A">
        <w:rPr>
          <w:rFonts w:ascii="Times New Roman" w:hAnsi="Times New Roman" w:cs="Times New Roman"/>
          <w:sz w:val="24"/>
          <w:szCs w:val="24"/>
        </w:rPr>
        <w:t xml:space="preserve"> danger of Timarchus’</w:t>
      </w:r>
      <w:r w:rsidR="0018553A" w:rsidRPr="0018553A">
        <w:rPr>
          <w:rFonts w:ascii="Times New Roman" w:hAnsi="Times New Roman" w:cs="Times New Roman"/>
          <w:sz w:val="24"/>
          <w:szCs w:val="24"/>
        </w:rPr>
        <w:t xml:space="preserve"> immorality.</w:t>
      </w:r>
      <w:r w:rsidR="0050297B" w:rsidRPr="0018553A">
        <w:rPr>
          <w:rFonts w:ascii="Times New Roman" w:hAnsi="Times New Roman" w:cs="Times New Roman"/>
          <w:sz w:val="24"/>
          <w:szCs w:val="24"/>
        </w:rPr>
        <w:t xml:space="preserve"> Timarchus’</w:t>
      </w:r>
      <w:r w:rsidR="00543213" w:rsidRPr="0018553A">
        <w:rPr>
          <w:rFonts w:ascii="Times New Roman" w:hAnsi="Times New Roman" w:cs="Times New Roman"/>
          <w:sz w:val="24"/>
          <w:szCs w:val="24"/>
        </w:rPr>
        <w:t xml:space="preserve"> immorality</w:t>
      </w:r>
      <w:r w:rsidR="0050297B" w:rsidRPr="0018553A">
        <w:rPr>
          <w:rFonts w:ascii="Times New Roman" w:hAnsi="Times New Roman" w:cs="Times New Roman"/>
          <w:sz w:val="24"/>
          <w:szCs w:val="24"/>
        </w:rPr>
        <w:t xml:space="preserve"> was not illegal, except that he presumed to act as a public speaker.  It was therefore necessary for Aeschines to connect Timarchus’ immorality with rhetoric, and he does so in the person of Demosthenes</w:t>
      </w:r>
      <w:r w:rsidR="00392E9E">
        <w:rPr>
          <w:rFonts w:ascii="Times New Roman" w:hAnsi="Times New Roman" w:cs="Times New Roman"/>
          <w:sz w:val="24"/>
          <w:szCs w:val="24"/>
        </w:rPr>
        <w:t>, Timarchus’ partner</w:t>
      </w:r>
      <w:r w:rsidR="0050297B" w:rsidRPr="0018553A">
        <w:rPr>
          <w:rFonts w:ascii="Times New Roman" w:hAnsi="Times New Roman" w:cs="Times New Roman"/>
          <w:sz w:val="24"/>
          <w:szCs w:val="24"/>
        </w:rPr>
        <w:t>.</w:t>
      </w:r>
    </w:p>
    <w:p w:rsidR="0018553A" w:rsidRDefault="0018553A" w:rsidP="001855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53A">
        <w:rPr>
          <w:rFonts w:ascii="Times New Roman" w:hAnsi="Times New Roman" w:cs="Times New Roman"/>
          <w:sz w:val="24"/>
          <w:szCs w:val="24"/>
        </w:rPr>
        <w:t>Aeschin</w:t>
      </w:r>
      <w:r w:rsidR="00294A4F">
        <w:rPr>
          <w:rFonts w:ascii="Times New Roman" w:hAnsi="Times New Roman" w:cs="Times New Roman"/>
          <w:sz w:val="24"/>
          <w:szCs w:val="24"/>
        </w:rPr>
        <w:t>es refers to Demosthenes</w:t>
      </w:r>
      <w:r w:rsidRPr="0018553A">
        <w:rPr>
          <w:rFonts w:ascii="Times New Roman" w:hAnsi="Times New Roman" w:cs="Times New Roman"/>
          <w:sz w:val="24"/>
          <w:szCs w:val="24"/>
        </w:rPr>
        <w:t xml:space="preserve"> twice before </w:t>
      </w:r>
      <w:r w:rsidR="00294A4F">
        <w:rPr>
          <w:rFonts w:ascii="Times New Roman" w:hAnsi="Times New Roman" w:cs="Times New Roman"/>
          <w:sz w:val="24"/>
          <w:szCs w:val="24"/>
        </w:rPr>
        <w:t>actually</w:t>
      </w:r>
      <w:r w:rsidRPr="0018553A">
        <w:rPr>
          <w:rFonts w:ascii="Times New Roman" w:hAnsi="Times New Roman" w:cs="Times New Roman"/>
          <w:sz w:val="24"/>
          <w:szCs w:val="24"/>
        </w:rPr>
        <w:t xml:space="preserve"> naming him.  </w:t>
      </w:r>
      <w:r w:rsidR="00947D9F">
        <w:rPr>
          <w:rFonts w:ascii="Times New Roman" w:hAnsi="Times New Roman" w:cs="Times New Roman"/>
          <w:sz w:val="24"/>
          <w:szCs w:val="24"/>
        </w:rPr>
        <w:t>He</w:t>
      </w:r>
      <w:r w:rsidRPr="0018553A">
        <w:rPr>
          <w:rFonts w:ascii="Times New Roman" w:hAnsi="Times New Roman" w:cs="Times New Roman"/>
          <w:sz w:val="24"/>
          <w:szCs w:val="24"/>
        </w:rPr>
        <w:t xml:space="preserve"> dubs him “a c</w:t>
      </w:r>
      <w:r w:rsidR="00947D9F">
        <w:rPr>
          <w:rFonts w:ascii="Times New Roman" w:hAnsi="Times New Roman" w:cs="Times New Roman"/>
          <w:sz w:val="24"/>
          <w:szCs w:val="24"/>
        </w:rPr>
        <w:t>ertain speechwriter”</w:t>
      </w:r>
      <w:r>
        <w:rPr>
          <w:rFonts w:ascii="Times New Roman" w:hAnsi="Times New Roman" w:cs="Times New Roman"/>
          <w:sz w:val="24"/>
          <w:szCs w:val="24"/>
        </w:rPr>
        <w:t xml:space="preserve"> who has “contrived the defense</w:t>
      </w:r>
      <w:r w:rsidRPr="001855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(94) and </w:t>
      </w:r>
      <w:r w:rsidRPr="0018553A">
        <w:rPr>
          <w:rFonts w:ascii="Times New Roman" w:hAnsi="Times New Roman" w:cs="Times New Roman"/>
          <w:sz w:val="24"/>
          <w:szCs w:val="24"/>
        </w:rPr>
        <w:t>“the man who advertises that he can teach young men the art of speaking [and] tricks you with false logic and prevents a result to the city’s advantage” (117).</w:t>
      </w:r>
      <w:r>
        <w:rPr>
          <w:rFonts w:ascii="Times New Roman" w:hAnsi="Times New Roman" w:cs="Times New Roman"/>
          <w:sz w:val="24"/>
          <w:szCs w:val="24"/>
        </w:rPr>
        <w:t xml:space="preserve">  Demosthenes’ identity is sophist; he is not named until 119.  Aeschines continues his anti-rhetorical attack, contrasting his own simplicity (120) with Demosthenes’ rhetorical skill (119, 123).  He</w:t>
      </w:r>
      <w:r w:rsidR="00947D9F">
        <w:rPr>
          <w:rFonts w:ascii="Times New Roman" w:hAnsi="Times New Roman" w:cs="Times New Roman"/>
          <w:sz w:val="24"/>
          <w:szCs w:val="24"/>
        </w:rPr>
        <w:t xml:space="preserve"> then</w:t>
      </w:r>
      <w:r>
        <w:rPr>
          <w:rFonts w:ascii="Times New Roman" w:hAnsi="Times New Roman" w:cs="Times New Roman"/>
          <w:sz w:val="24"/>
          <w:szCs w:val="24"/>
        </w:rPr>
        <w:t xml:space="preserve"> names Demosthenes a sophist (125) and connects his rhetoric with pathic immorality (131</w:t>
      </w:r>
      <w:r w:rsidR="00E84E6E">
        <w:rPr>
          <w:rFonts w:ascii="Times New Roman" w:hAnsi="Times New Roman" w:cs="Times New Roman"/>
          <w:sz w:val="24"/>
          <w:szCs w:val="24"/>
        </w:rPr>
        <w:t>, 160-164</w:t>
      </w:r>
      <w:r>
        <w:rPr>
          <w:rFonts w:ascii="Times New Roman" w:hAnsi="Times New Roman" w:cs="Times New Roman"/>
          <w:sz w:val="24"/>
          <w:szCs w:val="24"/>
        </w:rPr>
        <w:t>).</w:t>
      </w:r>
      <w:r w:rsidR="00E84E6E">
        <w:rPr>
          <w:rFonts w:ascii="Times New Roman" w:hAnsi="Times New Roman" w:cs="Times New Roman"/>
          <w:sz w:val="24"/>
          <w:szCs w:val="24"/>
        </w:rPr>
        <w:t xml:space="preserve">  He identifies with the jury (esp. 141) and attacks the arrogance of the defense.  Finally,</w:t>
      </w:r>
      <w:r w:rsidR="00947D9F">
        <w:rPr>
          <w:rFonts w:ascii="Times New Roman" w:hAnsi="Times New Roman" w:cs="Times New Roman"/>
          <w:sz w:val="24"/>
          <w:szCs w:val="24"/>
        </w:rPr>
        <w:t xml:space="preserve"> just</w:t>
      </w:r>
      <w:r w:rsidR="00E84E6E">
        <w:rPr>
          <w:rFonts w:ascii="Times New Roman" w:hAnsi="Times New Roman" w:cs="Times New Roman"/>
          <w:sz w:val="24"/>
          <w:szCs w:val="24"/>
        </w:rPr>
        <w:t xml:space="preserve"> before the conclusion, which again returns to Timarchus’ immorality, Aeschines extends his attack on Demosthenes, accusing him of planning to trick the ju</w:t>
      </w:r>
      <w:r w:rsidR="0013019D">
        <w:rPr>
          <w:rFonts w:ascii="Times New Roman" w:hAnsi="Times New Roman" w:cs="Times New Roman"/>
          <w:sz w:val="24"/>
          <w:szCs w:val="24"/>
        </w:rPr>
        <w:t xml:space="preserve">rors with his rhetoric and of disgracing Athens with his speech, but also of squandering his inheritance and </w:t>
      </w:r>
      <w:r w:rsidR="00947D9F">
        <w:rPr>
          <w:rFonts w:ascii="Times New Roman" w:hAnsi="Times New Roman" w:cs="Times New Roman"/>
          <w:sz w:val="24"/>
          <w:szCs w:val="24"/>
        </w:rPr>
        <w:t>committing</w:t>
      </w:r>
      <w:r w:rsidR="0013019D">
        <w:rPr>
          <w:rFonts w:ascii="Times New Roman" w:hAnsi="Times New Roman" w:cs="Times New Roman"/>
          <w:sz w:val="24"/>
          <w:szCs w:val="24"/>
        </w:rPr>
        <w:t xml:space="preserve"> unseemly actions with a boy (166-176).  Thus Aeschines conflates immorality with rhetoric, even accusing Demosthenes of the same actions as Timar</w:t>
      </w:r>
      <w:r w:rsidR="00DA3C33">
        <w:rPr>
          <w:rFonts w:ascii="Times New Roman" w:hAnsi="Times New Roman" w:cs="Times New Roman"/>
          <w:sz w:val="24"/>
          <w:szCs w:val="24"/>
        </w:rPr>
        <w:t>chus.  He seals their connection</w:t>
      </w:r>
      <w:r w:rsidR="0013019D">
        <w:rPr>
          <w:rFonts w:ascii="Times New Roman" w:hAnsi="Times New Roman" w:cs="Times New Roman"/>
          <w:sz w:val="24"/>
          <w:szCs w:val="24"/>
        </w:rPr>
        <w:t xml:space="preserve"> by declaring that neither Timarchus nor Demosthenes should be allowed to participate in public life (181).</w:t>
      </w:r>
    </w:p>
    <w:p w:rsidR="00C83F08" w:rsidRDefault="0013019D" w:rsidP="00325F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Aeschines’ strategy was to conflate Timarchus’ immorality with Demosthenes’ rhetoric, thus simultaneously incriminating Timarchus’ immorality and guarding against the arguments of the defense.  It worked.</w:t>
      </w:r>
    </w:p>
    <w:p w:rsidR="00325F5E" w:rsidRDefault="00325F5E" w:rsidP="00325F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F5E" w:rsidRDefault="00325F5E" w:rsidP="00325F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Bibliography</w:t>
      </w:r>
    </w:p>
    <w:p w:rsidR="00807A7C" w:rsidRPr="00807A7C" w:rsidRDefault="00807A7C" w:rsidP="00807A7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7A7C">
        <w:rPr>
          <w:rFonts w:ascii="Times New Roman" w:hAnsi="Times New Roman" w:cs="Times New Roman"/>
          <w:bCs/>
          <w:sz w:val="24"/>
          <w:szCs w:val="24"/>
        </w:rPr>
        <w:t xml:space="preserve">Davidson, James. </w:t>
      </w:r>
      <w:r w:rsidRPr="00807A7C">
        <w:rPr>
          <w:rFonts w:ascii="Times New Roman" w:hAnsi="Times New Roman" w:cs="Times New Roman"/>
          <w:bCs/>
          <w:i/>
          <w:sz w:val="24"/>
          <w:szCs w:val="24"/>
        </w:rPr>
        <w:t>Courtesans and Fishcakes: The Consuming Passions of Classical Athens</w:t>
      </w:r>
      <w:r w:rsidRPr="00807A7C">
        <w:rPr>
          <w:rFonts w:ascii="Times New Roman" w:hAnsi="Times New Roman" w:cs="Times New Roman"/>
          <w:bCs/>
          <w:sz w:val="24"/>
          <w:szCs w:val="24"/>
        </w:rPr>
        <w:t xml:space="preserve">. New </w:t>
      </w:r>
      <w:r w:rsidRPr="00807A7C">
        <w:rPr>
          <w:rFonts w:ascii="Times New Roman" w:hAnsi="Times New Roman" w:cs="Times New Roman"/>
          <w:bCs/>
          <w:sz w:val="24"/>
          <w:szCs w:val="24"/>
        </w:rPr>
        <w:tab/>
        <w:t>York: St. Martin’s Press, 1997.</w:t>
      </w:r>
    </w:p>
    <w:p w:rsidR="00807A7C" w:rsidRPr="00807A7C" w:rsidRDefault="00807A7C" w:rsidP="00807A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A7C">
        <w:rPr>
          <w:rFonts w:ascii="Times New Roman" w:hAnsi="Times New Roman" w:cs="Times New Roman"/>
          <w:sz w:val="24"/>
          <w:szCs w:val="24"/>
        </w:rPr>
        <w:t xml:space="preserve">Dover, Kenneth J. </w:t>
      </w:r>
      <w:r w:rsidRPr="00807A7C">
        <w:rPr>
          <w:rFonts w:ascii="Times New Roman" w:hAnsi="Times New Roman" w:cs="Times New Roman"/>
          <w:i/>
          <w:sz w:val="24"/>
          <w:szCs w:val="24"/>
        </w:rPr>
        <w:t>Greek Homosexuality</w:t>
      </w:r>
      <w:r w:rsidRPr="00807A7C">
        <w:rPr>
          <w:rFonts w:ascii="Times New Roman" w:hAnsi="Times New Roman" w:cs="Times New Roman"/>
          <w:sz w:val="24"/>
          <w:szCs w:val="24"/>
        </w:rPr>
        <w:t>. 1978. Reprint, Cambridge: Harvard UP, 1989.</w:t>
      </w:r>
    </w:p>
    <w:p w:rsidR="00807A7C" w:rsidRDefault="00807A7C" w:rsidP="00807A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A7C">
        <w:rPr>
          <w:rFonts w:ascii="Times New Roman" w:hAnsi="Times New Roman" w:cs="Times New Roman"/>
          <w:sz w:val="24"/>
          <w:szCs w:val="24"/>
        </w:rPr>
        <w:t>Fisher, Nick.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A7C">
        <w:rPr>
          <w:rFonts w:ascii="Times New Roman" w:hAnsi="Times New Roman" w:cs="Times New Roman"/>
          <w:i/>
          <w:sz w:val="24"/>
          <w:szCs w:val="24"/>
        </w:rPr>
        <w:t>Aeschines: Against Timarchos</w:t>
      </w:r>
      <w:r w:rsidRPr="00807A7C">
        <w:rPr>
          <w:rFonts w:ascii="Times New Roman" w:hAnsi="Times New Roman" w:cs="Times New Roman"/>
          <w:sz w:val="24"/>
          <w:szCs w:val="24"/>
        </w:rPr>
        <w:t>. Oxford, 2001.</w:t>
      </w:r>
    </w:p>
    <w:p w:rsidR="00807A7C" w:rsidRPr="00807A7C" w:rsidRDefault="00807A7C" w:rsidP="00807A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A7C">
        <w:rPr>
          <w:rFonts w:ascii="Times New Roman" w:hAnsi="Times New Roman" w:cs="Times New Roman"/>
          <w:sz w:val="24"/>
          <w:szCs w:val="24"/>
        </w:rPr>
        <w:t xml:space="preserve">Hunter, V.J. </w:t>
      </w:r>
      <w:r w:rsidRPr="00807A7C">
        <w:rPr>
          <w:rFonts w:ascii="Times New Roman" w:hAnsi="Times New Roman" w:cs="Times New Roman"/>
          <w:i/>
          <w:sz w:val="24"/>
          <w:szCs w:val="24"/>
        </w:rPr>
        <w:t>Policing Athens: Social Control in the Attic Lawsuits, 420-320</w:t>
      </w:r>
      <w:r w:rsidRPr="00807A7C">
        <w:rPr>
          <w:rFonts w:ascii="Times New Roman" w:hAnsi="Times New Roman" w:cs="Times New Roman"/>
          <w:sz w:val="24"/>
          <w:szCs w:val="24"/>
        </w:rPr>
        <w:t>. Princeton, 1994.</w:t>
      </w:r>
    </w:p>
    <w:p w:rsidR="00807A7C" w:rsidRPr="00807A7C" w:rsidRDefault="00807A7C" w:rsidP="00807A7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7A7C">
        <w:rPr>
          <w:rFonts w:ascii="Times New Roman" w:hAnsi="Times New Roman" w:cs="Times New Roman"/>
          <w:bCs/>
          <w:sz w:val="24"/>
          <w:szCs w:val="24"/>
        </w:rPr>
        <w:t xml:space="preserve">Kennedy, George. </w:t>
      </w:r>
      <w:r w:rsidRPr="00807A7C">
        <w:rPr>
          <w:rFonts w:ascii="Times New Roman" w:hAnsi="Times New Roman" w:cs="Times New Roman"/>
          <w:bCs/>
          <w:i/>
          <w:sz w:val="24"/>
          <w:szCs w:val="24"/>
        </w:rPr>
        <w:t>The Art of Persuasion in Greece</w:t>
      </w:r>
      <w:r w:rsidRPr="00807A7C">
        <w:rPr>
          <w:rFonts w:ascii="Times New Roman" w:hAnsi="Times New Roman" w:cs="Times New Roman"/>
          <w:bCs/>
          <w:sz w:val="24"/>
          <w:szCs w:val="24"/>
        </w:rPr>
        <w:t>. Princeton, 1963.</w:t>
      </w:r>
    </w:p>
    <w:p w:rsidR="00807A7C" w:rsidRPr="00807A7C" w:rsidRDefault="00807A7C" w:rsidP="00807A7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7A7C">
        <w:rPr>
          <w:rFonts w:ascii="Times New Roman" w:hAnsi="Times New Roman" w:cs="Times New Roman"/>
          <w:bCs/>
          <w:sz w:val="24"/>
          <w:szCs w:val="24"/>
        </w:rPr>
        <w:t xml:space="preserve">Kurihara, Asako. “Personal Enmity as a Motivation in Forensic Speeches.” </w:t>
      </w:r>
      <w:r w:rsidRPr="00807A7C">
        <w:rPr>
          <w:rFonts w:ascii="Times New Roman" w:hAnsi="Times New Roman" w:cs="Times New Roman"/>
          <w:bCs/>
          <w:i/>
          <w:sz w:val="24"/>
          <w:szCs w:val="24"/>
        </w:rPr>
        <w:t xml:space="preserve">CQ </w:t>
      </w:r>
      <w:r w:rsidRPr="00807A7C">
        <w:rPr>
          <w:rFonts w:ascii="Times New Roman" w:hAnsi="Times New Roman" w:cs="Times New Roman"/>
          <w:bCs/>
          <w:sz w:val="24"/>
          <w:szCs w:val="24"/>
        </w:rPr>
        <w:t>53 (2003): 464-</w:t>
      </w:r>
      <w:r w:rsidRPr="00807A7C">
        <w:rPr>
          <w:rFonts w:ascii="Times New Roman" w:hAnsi="Times New Roman" w:cs="Times New Roman"/>
          <w:bCs/>
          <w:sz w:val="24"/>
          <w:szCs w:val="24"/>
        </w:rPr>
        <w:tab/>
        <w:t>477.</w:t>
      </w:r>
    </w:p>
    <w:p w:rsidR="00807A7C" w:rsidRPr="00807A7C" w:rsidRDefault="00807A7C" w:rsidP="00807A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7A7C">
        <w:rPr>
          <w:rFonts w:ascii="Times New Roman" w:hAnsi="Times New Roman" w:cs="Times New Roman"/>
          <w:sz w:val="24"/>
          <w:szCs w:val="24"/>
        </w:rPr>
        <w:t xml:space="preserve">Usher, S. </w:t>
      </w:r>
      <w:r w:rsidRPr="00807A7C">
        <w:rPr>
          <w:rFonts w:ascii="Times New Roman" w:hAnsi="Times New Roman" w:cs="Times New Roman"/>
          <w:i/>
          <w:sz w:val="24"/>
          <w:szCs w:val="24"/>
        </w:rPr>
        <w:t>Greek Oratory: Tradition and Originality</w:t>
      </w:r>
      <w:r w:rsidRPr="00807A7C">
        <w:rPr>
          <w:rFonts w:ascii="Times New Roman" w:hAnsi="Times New Roman" w:cs="Times New Roman"/>
          <w:sz w:val="24"/>
          <w:szCs w:val="24"/>
        </w:rPr>
        <w:t>. Oxford, 1999.</w:t>
      </w:r>
    </w:p>
    <w:p w:rsidR="00807A7C" w:rsidRPr="00807A7C" w:rsidRDefault="00807A7C" w:rsidP="00807A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F5E" w:rsidRPr="00325F5E" w:rsidRDefault="00325F5E" w:rsidP="00325F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5F5E" w:rsidRPr="00325F5E" w:rsidSect="002D5C2B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A4F" w:rsidRDefault="00294A4F" w:rsidP="003A6BED">
      <w:pPr>
        <w:spacing w:after="0" w:line="240" w:lineRule="auto"/>
      </w:pPr>
      <w:r>
        <w:separator/>
      </w:r>
    </w:p>
  </w:endnote>
  <w:endnote w:type="continuationSeparator" w:id="0">
    <w:p w:rsidR="00294A4F" w:rsidRDefault="00294A4F" w:rsidP="003A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A4F" w:rsidRDefault="00294A4F" w:rsidP="003A6BED">
      <w:pPr>
        <w:spacing w:after="0" w:line="240" w:lineRule="auto"/>
      </w:pPr>
      <w:r>
        <w:separator/>
      </w:r>
    </w:p>
  </w:footnote>
  <w:footnote w:type="continuationSeparator" w:id="0">
    <w:p w:rsidR="00294A4F" w:rsidRDefault="00294A4F" w:rsidP="003A6BED">
      <w:pPr>
        <w:spacing w:after="0" w:line="240" w:lineRule="auto"/>
      </w:pPr>
      <w:r>
        <w:continuationSeparator/>
      </w:r>
    </w:p>
  </w:footnote>
  <w:footnote w:id="1">
    <w:p w:rsidR="00294A4F" w:rsidRDefault="00294A4F">
      <w:pPr>
        <w:pStyle w:val="FootnoteText"/>
      </w:pPr>
      <w:r>
        <w:rPr>
          <w:rStyle w:val="FootnoteReference"/>
        </w:rPr>
        <w:footnoteRef/>
      </w:r>
      <w:r>
        <w:t xml:space="preserve"> Usher (1998) 280-282</w:t>
      </w:r>
    </w:p>
  </w:footnote>
  <w:footnote w:id="2">
    <w:p w:rsidR="00294A4F" w:rsidRDefault="00294A4F">
      <w:pPr>
        <w:pStyle w:val="FootnoteText"/>
      </w:pPr>
      <w:r>
        <w:rPr>
          <w:rStyle w:val="FootnoteReference"/>
        </w:rPr>
        <w:footnoteRef/>
      </w:r>
      <w:r>
        <w:t xml:space="preserve"> Kennedy (1963) 238-239</w:t>
      </w:r>
    </w:p>
  </w:footnote>
  <w:footnote w:id="3">
    <w:p w:rsidR="00294A4F" w:rsidRDefault="00294A4F">
      <w:pPr>
        <w:pStyle w:val="FootnoteText"/>
      </w:pPr>
      <w:r>
        <w:rPr>
          <w:rStyle w:val="FootnoteReference"/>
        </w:rPr>
        <w:footnoteRef/>
      </w:r>
      <w:r>
        <w:t xml:space="preserve"> Dover (1989) 19-109, Hunter (1994) 104-5,</w:t>
      </w:r>
      <w:r w:rsidRPr="00237800">
        <w:t xml:space="preserve"> </w:t>
      </w:r>
      <w:r>
        <w:t>Davidson (1997) 250-277,</w:t>
      </w:r>
      <w:r w:rsidRPr="00237800">
        <w:t xml:space="preserve"> </w:t>
      </w:r>
      <w:r>
        <w:t>Fisher (2001) esp. 53-67</w:t>
      </w:r>
    </w:p>
  </w:footnote>
  <w:footnote w:id="4">
    <w:p w:rsidR="00294A4F" w:rsidRDefault="00294A4F">
      <w:pPr>
        <w:pStyle w:val="FootnoteText"/>
      </w:pPr>
      <w:r>
        <w:rPr>
          <w:rStyle w:val="FootnoteReference"/>
        </w:rPr>
        <w:footnoteRef/>
      </w:r>
      <w:r>
        <w:t xml:space="preserve"> Cf. Davidson (1997) 267, Kurihara (2003)</w:t>
      </w:r>
    </w:p>
  </w:footnote>
  <w:footnote w:id="5">
    <w:p w:rsidR="00294A4F" w:rsidRDefault="00294A4F" w:rsidP="00B54DE9">
      <w:pPr>
        <w:pStyle w:val="FootnoteText"/>
      </w:pPr>
      <w:r>
        <w:rPr>
          <w:rStyle w:val="FootnoteReference"/>
        </w:rPr>
        <w:footnoteRef/>
      </w:r>
      <w:r>
        <w:t xml:space="preserve"> Fisher (2001) 54-55,  315, 322</w:t>
      </w:r>
    </w:p>
  </w:footnote>
  <w:footnote w:id="6">
    <w:p w:rsidR="00294A4F" w:rsidRDefault="00294A4F" w:rsidP="00B54DE9">
      <w:pPr>
        <w:pStyle w:val="FootnoteText"/>
      </w:pPr>
      <w:r>
        <w:rPr>
          <w:rStyle w:val="FootnoteReference"/>
        </w:rPr>
        <w:footnoteRef/>
      </w:r>
      <w:r>
        <w:t xml:space="preserve"> Kennedy (1963) 238-9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BED"/>
    <w:rsid w:val="000F7725"/>
    <w:rsid w:val="0013019D"/>
    <w:rsid w:val="0018553A"/>
    <w:rsid w:val="001A7CA4"/>
    <w:rsid w:val="00237800"/>
    <w:rsid w:val="00294A4F"/>
    <w:rsid w:val="002A33C7"/>
    <w:rsid w:val="002D5C2B"/>
    <w:rsid w:val="002E6A84"/>
    <w:rsid w:val="00325F5E"/>
    <w:rsid w:val="00337D8D"/>
    <w:rsid w:val="00392E9E"/>
    <w:rsid w:val="003A6BED"/>
    <w:rsid w:val="004C454E"/>
    <w:rsid w:val="0050297B"/>
    <w:rsid w:val="00543213"/>
    <w:rsid w:val="005B4316"/>
    <w:rsid w:val="005C6730"/>
    <w:rsid w:val="006B520E"/>
    <w:rsid w:val="0075174B"/>
    <w:rsid w:val="007644B5"/>
    <w:rsid w:val="007A1A20"/>
    <w:rsid w:val="008045A9"/>
    <w:rsid w:val="00807A7C"/>
    <w:rsid w:val="00896DFE"/>
    <w:rsid w:val="00911E20"/>
    <w:rsid w:val="00947D9F"/>
    <w:rsid w:val="009C5F60"/>
    <w:rsid w:val="00A074DE"/>
    <w:rsid w:val="00A35E25"/>
    <w:rsid w:val="00AB2417"/>
    <w:rsid w:val="00AF3061"/>
    <w:rsid w:val="00B00ABA"/>
    <w:rsid w:val="00B0755F"/>
    <w:rsid w:val="00B30E6A"/>
    <w:rsid w:val="00B54DE9"/>
    <w:rsid w:val="00BB7162"/>
    <w:rsid w:val="00C83F08"/>
    <w:rsid w:val="00CF3BA6"/>
    <w:rsid w:val="00D01B6E"/>
    <w:rsid w:val="00DA3C33"/>
    <w:rsid w:val="00E84E6E"/>
    <w:rsid w:val="00F07444"/>
    <w:rsid w:val="00F377B6"/>
    <w:rsid w:val="00F70A0E"/>
    <w:rsid w:val="00FB5F76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A6B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B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6B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2EE0-A48B-E344-AC83-59926B00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707</Words>
  <Characters>3750</Characters>
  <Application>Microsoft Macintosh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19</cp:revision>
  <dcterms:created xsi:type="dcterms:W3CDTF">2010-09-21T02:20:00Z</dcterms:created>
  <dcterms:modified xsi:type="dcterms:W3CDTF">2010-09-28T22:36:00Z</dcterms:modified>
  <cp:category/>
</cp:coreProperties>
</file>