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3D" w:rsidRPr="006C193D" w:rsidRDefault="006C193D" w:rsidP="00455507">
      <w:pPr>
        <w:spacing w:line="360" w:lineRule="auto"/>
        <w:jc w:val="center"/>
        <w:rPr>
          <w:sz w:val="24"/>
          <w:szCs w:val="24"/>
        </w:rPr>
      </w:pPr>
      <w:r w:rsidRPr="00495DAE">
        <w:rPr>
          <w:sz w:val="24"/>
          <w:szCs w:val="24"/>
        </w:rPr>
        <w:t>Viewing Priam:  Wedding Diction</w:t>
      </w:r>
      <w:r w:rsidRPr="00495DAE">
        <w:rPr>
          <w:i/>
          <w:sz w:val="24"/>
          <w:szCs w:val="24"/>
        </w:rPr>
        <w:t xml:space="preserve"> </w:t>
      </w:r>
      <w:r w:rsidRPr="00495DAE">
        <w:rPr>
          <w:sz w:val="24"/>
          <w:szCs w:val="24"/>
        </w:rPr>
        <w:t>in Priam’s Speech-Acts in the “Teichoscopia”</w:t>
      </w:r>
    </w:p>
    <w:p w:rsidR="0074703E" w:rsidRPr="00495DAE" w:rsidRDefault="006C193D" w:rsidP="00566BF7">
      <w:pPr>
        <w:spacing w:line="360" w:lineRule="auto"/>
        <w:jc w:val="both"/>
        <w:rPr>
          <w:sz w:val="24"/>
        </w:rPr>
      </w:pPr>
      <w:r>
        <w:rPr>
          <w:sz w:val="24"/>
        </w:rPr>
        <w:tab/>
      </w:r>
      <w:r w:rsidR="00405A3F" w:rsidRPr="00495DAE">
        <w:rPr>
          <w:sz w:val="24"/>
        </w:rPr>
        <w:t>Commentators have long noted the peculiarity in the questions posed by Priam regarding the id</w:t>
      </w:r>
      <w:r w:rsidR="00542242" w:rsidRPr="00495DAE">
        <w:rPr>
          <w:sz w:val="24"/>
        </w:rPr>
        <w:t>entity of the Achaean leaders in the tenth</w:t>
      </w:r>
      <w:r w:rsidR="00405A3F" w:rsidRPr="00495DAE">
        <w:rPr>
          <w:sz w:val="24"/>
        </w:rPr>
        <w:t xml:space="preserve"> year of the Trojan War.</w:t>
      </w:r>
      <w:r w:rsidR="00405A3F" w:rsidRPr="00495DAE">
        <w:rPr>
          <w:rStyle w:val="FootnoteReference"/>
          <w:sz w:val="24"/>
        </w:rPr>
        <w:t xml:space="preserve"> </w:t>
      </w:r>
      <w:r w:rsidR="00405A3F" w:rsidRPr="00495DAE">
        <w:rPr>
          <w:sz w:val="24"/>
        </w:rPr>
        <w:t xml:space="preserve"> The section known as </w:t>
      </w:r>
      <w:r w:rsidR="00DC4305" w:rsidRPr="00495DAE">
        <w:rPr>
          <w:sz w:val="24"/>
        </w:rPr>
        <w:t>“</w:t>
      </w:r>
      <w:r w:rsidR="00405A3F" w:rsidRPr="00495DAE">
        <w:rPr>
          <w:sz w:val="24"/>
        </w:rPr>
        <w:t>teichoskopia</w:t>
      </w:r>
      <w:r w:rsidR="00DC4305" w:rsidRPr="00495DAE">
        <w:rPr>
          <w:sz w:val="24"/>
        </w:rPr>
        <w:t>”</w:t>
      </w:r>
      <w:r w:rsidR="00405A3F" w:rsidRPr="00495DAE">
        <w:rPr>
          <w:i/>
          <w:sz w:val="24"/>
        </w:rPr>
        <w:t xml:space="preserve"> </w:t>
      </w:r>
      <w:r w:rsidR="00405A3F" w:rsidRPr="00495DAE">
        <w:rPr>
          <w:sz w:val="24"/>
        </w:rPr>
        <w:t xml:space="preserve">in </w:t>
      </w:r>
      <w:r w:rsidR="00405A3F" w:rsidRPr="00495DAE">
        <w:rPr>
          <w:i/>
          <w:sz w:val="24"/>
        </w:rPr>
        <w:t xml:space="preserve">Iliad </w:t>
      </w:r>
      <w:r w:rsidR="00824E63" w:rsidRPr="00495DAE">
        <w:rPr>
          <w:sz w:val="24"/>
        </w:rPr>
        <w:t>3.</w:t>
      </w:r>
      <w:r w:rsidR="00405A3F" w:rsidRPr="00495DAE">
        <w:rPr>
          <w:sz w:val="24"/>
        </w:rPr>
        <w:t xml:space="preserve">161-244 has an idiosyncratic relationship with the narrative time of the </w:t>
      </w:r>
      <w:r w:rsidR="00405A3F" w:rsidRPr="00495DAE">
        <w:rPr>
          <w:i/>
          <w:sz w:val="24"/>
        </w:rPr>
        <w:t xml:space="preserve">Iliad.  </w:t>
      </w:r>
      <w:r w:rsidR="002D3D49" w:rsidRPr="00495DAE">
        <w:rPr>
          <w:sz w:val="24"/>
        </w:rPr>
        <w:t xml:space="preserve">The entire book 3 of the </w:t>
      </w:r>
      <w:r w:rsidR="002D3D49" w:rsidRPr="00495DAE">
        <w:rPr>
          <w:i/>
          <w:sz w:val="24"/>
        </w:rPr>
        <w:t>Iliad</w:t>
      </w:r>
      <w:r w:rsidR="002D3D49" w:rsidRPr="00495DAE">
        <w:rPr>
          <w:sz w:val="24"/>
        </w:rPr>
        <w:t xml:space="preserve"> has been read from many angles, emphasizing Helen’s position in epic poetry and poetics and self-referentiality of epic (e.g. Clader 1976, Bergren 1980, Pucci 1993, Worman 2001, Elmer 2005, Martin 2007). The exchange between Helen and Priam is problematic in multiple ways.  Moreover, the affinities of this passage with passages from the </w:t>
      </w:r>
      <w:r w:rsidR="002D3D49" w:rsidRPr="00495DAE">
        <w:rPr>
          <w:i/>
          <w:sz w:val="24"/>
        </w:rPr>
        <w:t xml:space="preserve">Odyssey </w:t>
      </w:r>
      <w:r w:rsidR="002D3D49" w:rsidRPr="00495DAE">
        <w:rPr>
          <w:sz w:val="24"/>
        </w:rPr>
        <w:t xml:space="preserve">have presented further challenges in its interpretation.  Much of the diction is typical in guest scenes (Higbie 1995, Mackie 1996, Tsagalis 2008).   Other scholars have regarded the </w:t>
      </w:r>
      <w:r w:rsidR="00824E63" w:rsidRPr="00495DAE">
        <w:rPr>
          <w:sz w:val="24"/>
        </w:rPr>
        <w:t>“t</w:t>
      </w:r>
      <w:r w:rsidR="002D3D49" w:rsidRPr="00495DAE">
        <w:rPr>
          <w:sz w:val="24"/>
        </w:rPr>
        <w:t>eichoskopia</w:t>
      </w:r>
      <w:r w:rsidR="00824E63" w:rsidRPr="00495DAE">
        <w:rPr>
          <w:sz w:val="24"/>
        </w:rPr>
        <w:t>”</w:t>
      </w:r>
      <w:r w:rsidR="002D3D49" w:rsidRPr="00495DAE">
        <w:rPr>
          <w:i/>
          <w:sz w:val="24"/>
        </w:rPr>
        <w:t xml:space="preserve"> </w:t>
      </w:r>
      <w:r w:rsidR="002D3D49" w:rsidRPr="00495DAE">
        <w:rPr>
          <w:sz w:val="24"/>
        </w:rPr>
        <w:t>as an earlier part of Trojan war narratives (Parry 1966, Kakridis 1971, Edwards 1980,   Postlethwaite 1985).  Other readings put forth the cognate perspective of wooing and counter</w:t>
      </w:r>
      <w:r w:rsidR="00DC4305" w:rsidRPr="00495DAE">
        <w:rPr>
          <w:sz w:val="24"/>
        </w:rPr>
        <w:t>-</w:t>
      </w:r>
      <w:r w:rsidR="002D3D49" w:rsidRPr="00495DAE">
        <w:rPr>
          <w:sz w:val="24"/>
        </w:rPr>
        <w:t xml:space="preserve">wooing scenes in the indo-european tradition (Jamison 1994).   </w:t>
      </w:r>
      <w:r w:rsidR="00405A3F" w:rsidRPr="00495DAE">
        <w:rPr>
          <w:sz w:val="24"/>
        </w:rPr>
        <w:t xml:space="preserve">While most studies on </w:t>
      </w:r>
      <w:r w:rsidR="00405A3F" w:rsidRPr="00495DAE">
        <w:rPr>
          <w:i/>
          <w:sz w:val="24"/>
        </w:rPr>
        <w:t xml:space="preserve">Iliad </w:t>
      </w:r>
      <w:r w:rsidR="00405A3F" w:rsidRPr="00495DAE">
        <w:rPr>
          <w:sz w:val="24"/>
        </w:rPr>
        <w:t xml:space="preserve">3 have focused on Helen, </w:t>
      </w:r>
      <w:r w:rsidR="002D3D49" w:rsidRPr="00495DAE">
        <w:rPr>
          <w:sz w:val="24"/>
        </w:rPr>
        <w:t xml:space="preserve">this paper analyzes </w:t>
      </w:r>
      <w:r w:rsidR="00405A3F" w:rsidRPr="00495DAE">
        <w:rPr>
          <w:sz w:val="24"/>
        </w:rPr>
        <w:t xml:space="preserve">Priam’s speech act from the perspective of traditional poetics and reflections of other speech genres in the </w:t>
      </w:r>
      <w:r w:rsidR="00405A3F" w:rsidRPr="00495DAE">
        <w:rPr>
          <w:i/>
          <w:sz w:val="24"/>
        </w:rPr>
        <w:t>Iliad</w:t>
      </w:r>
      <w:r w:rsidR="00405A3F" w:rsidRPr="00495DAE">
        <w:rPr>
          <w:sz w:val="24"/>
        </w:rPr>
        <w:t xml:space="preserve">. As I argue, the </w:t>
      </w:r>
      <w:r w:rsidR="00405A3F" w:rsidRPr="00495DAE">
        <w:rPr>
          <w:i/>
          <w:sz w:val="24"/>
        </w:rPr>
        <w:t xml:space="preserve">topoi </w:t>
      </w:r>
      <w:r w:rsidR="00405A3F" w:rsidRPr="00495DAE">
        <w:rPr>
          <w:sz w:val="24"/>
        </w:rPr>
        <w:t xml:space="preserve">of traditional discourse around weddings permeate the epic fabric.  Priam’s discourse exhibits elements of the tradition of praise, </w:t>
      </w:r>
      <w:r w:rsidR="00405A3F" w:rsidRPr="00495DAE">
        <w:rPr>
          <w:i/>
          <w:sz w:val="24"/>
        </w:rPr>
        <w:t>eikasia</w:t>
      </w:r>
      <w:r w:rsidR="00405A3F" w:rsidRPr="00495DAE">
        <w:rPr>
          <w:sz w:val="24"/>
        </w:rPr>
        <w:t xml:space="preserve"> and </w:t>
      </w:r>
      <w:r w:rsidR="00405A3F" w:rsidRPr="00495DAE">
        <w:rPr>
          <w:i/>
          <w:sz w:val="24"/>
        </w:rPr>
        <w:t>makarismos</w:t>
      </w:r>
      <w:r w:rsidR="00405A3F" w:rsidRPr="00495DAE">
        <w:rPr>
          <w:sz w:val="24"/>
        </w:rPr>
        <w:t xml:space="preserve"> that are aptly placed in the iliadic context.  </w:t>
      </w:r>
      <w:r w:rsidR="00566BF7" w:rsidRPr="00495DAE">
        <w:rPr>
          <w:sz w:val="24"/>
        </w:rPr>
        <w:t xml:space="preserve"> </w:t>
      </w:r>
      <w:r w:rsidR="00405A3F" w:rsidRPr="00495DAE">
        <w:rPr>
          <w:sz w:val="24"/>
        </w:rPr>
        <w:t xml:space="preserve">It is a </w:t>
      </w:r>
      <w:r w:rsidR="00405A3F" w:rsidRPr="00495DAE">
        <w:rPr>
          <w:i/>
          <w:sz w:val="24"/>
        </w:rPr>
        <w:t xml:space="preserve">communis opinio </w:t>
      </w:r>
      <w:r w:rsidR="00405A3F" w:rsidRPr="00495DAE">
        <w:rPr>
          <w:sz w:val="24"/>
        </w:rPr>
        <w:t xml:space="preserve">that performances at wedding are centered around praise for the couple.  The core of the song is praise, possibly modeled on an </w:t>
      </w:r>
      <w:r w:rsidR="00405A3F" w:rsidRPr="00495DAE">
        <w:rPr>
          <w:i/>
          <w:sz w:val="24"/>
        </w:rPr>
        <w:t xml:space="preserve">ainos </w:t>
      </w:r>
      <w:r w:rsidR="00405A3F" w:rsidRPr="00495DAE">
        <w:rPr>
          <w:sz w:val="24"/>
        </w:rPr>
        <w:t xml:space="preserve">poetry that seeks to extol the beauty of the bride and the strength of the groom.  The wedding theme appears not infrequently in Homeric narrative (e.g. </w:t>
      </w:r>
      <w:r w:rsidR="00405A3F" w:rsidRPr="00495DAE">
        <w:rPr>
          <w:i/>
          <w:sz w:val="24"/>
        </w:rPr>
        <w:t xml:space="preserve">Il. </w:t>
      </w:r>
      <w:r w:rsidR="00405A3F" w:rsidRPr="00495DAE">
        <w:rPr>
          <w:sz w:val="24"/>
        </w:rPr>
        <w:t xml:space="preserve">18.490-496; </w:t>
      </w:r>
      <w:r w:rsidR="00405A3F" w:rsidRPr="00495DAE">
        <w:rPr>
          <w:i/>
          <w:sz w:val="24"/>
        </w:rPr>
        <w:t xml:space="preserve">Od. </w:t>
      </w:r>
      <w:r w:rsidR="00405A3F" w:rsidRPr="00495DAE">
        <w:rPr>
          <w:sz w:val="24"/>
        </w:rPr>
        <w:t xml:space="preserve">4. 1-19; </w:t>
      </w:r>
      <w:r w:rsidR="00405A3F" w:rsidRPr="00495DAE">
        <w:rPr>
          <w:i/>
          <w:sz w:val="24"/>
        </w:rPr>
        <w:t>Od.</w:t>
      </w:r>
      <w:r w:rsidR="00405A3F" w:rsidRPr="00495DAE">
        <w:rPr>
          <w:sz w:val="24"/>
        </w:rPr>
        <w:t xml:space="preserve"> 6 </w:t>
      </w:r>
      <w:r w:rsidR="00405A3F" w:rsidRPr="00495DAE">
        <w:rPr>
          <w:i/>
          <w:sz w:val="24"/>
        </w:rPr>
        <w:t>passim</w:t>
      </w:r>
      <w:r w:rsidR="00405A3F" w:rsidRPr="00495DAE">
        <w:rPr>
          <w:sz w:val="24"/>
        </w:rPr>
        <w:t xml:space="preserve">; </w:t>
      </w:r>
      <w:r w:rsidR="00405A3F" w:rsidRPr="00495DAE">
        <w:rPr>
          <w:i/>
          <w:sz w:val="24"/>
        </w:rPr>
        <w:t>Od</w:t>
      </w:r>
      <w:r w:rsidR="00405A3F" w:rsidRPr="00495DAE">
        <w:rPr>
          <w:sz w:val="24"/>
        </w:rPr>
        <w:t xml:space="preserve">. 15.125-127; </w:t>
      </w:r>
      <w:r w:rsidR="00405A3F" w:rsidRPr="00495DAE">
        <w:rPr>
          <w:i/>
          <w:sz w:val="24"/>
        </w:rPr>
        <w:t xml:space="preserve">Od. </w:t>
      </w:r>
      <w:r w:rsidR="00405A3F" w:rsidRPr="00495DAE">
        <w:rPr>
          <w:sz w:val="24"/>
        </w:rPr>
        <w:t>23.129-140) but typology and forms of wedding poetry enrich</w:t>
      </w:r>
      <w:r w:rsidR="00DC4305" w:rsidRPr="00495DAE">
        <w:rPr>
          <w:sz w:val="24"/>
        </w:rPr>
        <w:t xml:space="preserve"> the </w:t>
      </w:r>
      <w:r w:rsidR="00405A3F" w:rsidRPr="00495DAE">
        <w:rPr>
          <w:sz w:val="24"/>
        </w:rPr>
        <w:t xml:space="preserve"> epic fabric in more subtle ways.  </w:t>
      </w:r>
      <w:r w:rsidR="00944633" w:rsidRPr="00495DAE">
        <w:rPr>
          <w:sz w:val="24"/>
        </w:rPr>
        <w:t xml:space="preserve">While similar strategies have been explored in the </w:t>
      </w:r>
      <w:r w:rsidR="00944633" w:rsidRPr="00495DAE">
        <w:rPr>
          <w:i/>
          <w:sz w:val="24"/>
        </w:rPr>
        <w:t xml:space="preserve">Odyssey </w:t>
      </w:r>
      <w:r w:rsidR="00944633" w:rsidRPr="00495DAE">
        <w:rPr>
          <w:sz w:val="24"/>
        </w:rPr>
        <w:t xml:space="preserve">(Hague 1983) wedding diction in the </w:t>
      </w:r>
      <w:r w:rsidR="00944633" w:rsidRPr="00495DAE">
        <w:rPr>
          <w:i/>
          <w:sz w:val="24"/>
        </w:rPr>
        <w:t xml:space="preserve">Iliad </w:t>
      </w:r>
      <w:r w:rsidR="00944633" w:rsidRPr="00495DAE">
        <w:rPr>
          <w:sz w:val="24"/>
        </w:rPr>
        <w:t xml:space="preserve">remains largely unexplored. </w:t>
      </w:r>
      <w:r w:rsidR="00405A3F" w:rsidRPr="00495DAE">
        <w:rPr>
          <w:sz w:val="24"/>
        </w:rPr>
        <w:t xml:space="preserve">A detailed reading of Priam’s questions to Helen shows how he orchestrates the praise of all the Achaean leaders with regards to the size of their appearance, something that can be read against wedding song poetics (as in Sappho. fr. 111).  Moreover, Priam’s address to Agamemnon’s name includes a </w:t>
      </w:r>
      <w:r w:rsidR="00405A3F" w:rsidRPr="00495DAE">
        <w:rPr>
          <w:i/>
          <w:sz w:val="24"/>
        </w:rPr>
        <w:t>makarismos</w:t>
      </w:r>
      <w:r w:rsidR="00B05090" w:rsidRPr="00495DAE">
        <w:rPr>
          <w:sz w:val="24"/>
        </w:rPr>
        <w:t>, also typical in wedding related diction</w:t>
      </w:r>
      <w:r w:rsidR="004B72E9" w:rsidRPr="00495DAE">
        <w:rPr>
          <w:sz w:val="24"/>
        </w:rPr>
        <w:t xml:space="preserve"> (cf. Hes. Fr. 211 M.-W)</w:t>
      </w:r>
      <w:r w:rsidR="00405A3F" w:rsidRPr="00495DAE">
        <w:rPr>
          <w:sz w:val="24"/>
        </w:rPr>
        <w:t>.  The references to Odysseus i</w:t>
      </w:r>
      <w:r w:rsidR="00B05090" w:rsidRPr="00495DAE">
        <w:rPr>
          <w:sz w:val="24"/>
        </w:rPr>
        <w:t>nclude</w:t>
      </w:r>
      <w:r w:rsidR="00405A3F" w:rsidRPr="00495DAE">
        <w:rPr>
          <w:sz w:val="24"/>
        </w:rPr>
        <w:t xml:space="preserve"> an </w:t>
      </w:r>
      <w:r w:rsidR="00405A3F" w:rsidRPr="00495DAE">
        <w:rPr>
          <w:i/>
          <w:sz w:val="24"/>
        </w:rPr>
        <w:t>eikasia</w:t>
      </w:r>
      <w:r w:rsidR="00405A3F" w:rsidRPr="00495DAE">
        <w:rPr>
          <w:sz w:val="24"/>
        </w:rPr>
        <w:t xml:space="preserve"> that likens Odysseus to a ram.  </w:t>
      </w:r>
      <w:r w:rsidR="00B05090" w:rsidRPr="00495DAE">
        <w:rPr>
          <w:sz w:val="24"/>
        </w:rPr>
        <w:t>While Helen initially responds to Priam using a language that exhibits the strategy of the expert lamenter in a discourse of blame and guilt, she later</w:t>
      </w:r>
      <w:r w:rsidR="00405A3F" w:rsidRPr="00495DAE">
        <w:rPr>
          <w:sz w:val="24"/>
        </w:rPr>
        <w:t xml:space="preserve"> corresponds her answers to the sp</w:t>
      </w:r>
      <w:r w:rsidR="00B05090" w:rsidRPr="00495DAE">
        <w:rPr>
          <w:sz w:val="24"/>
        </w:rPr>
        <w:t xml:space="preserve">eech acts of Priam and offers </w:t>
      </w:r>
      <w:r w:rsidR="004B72E9" w:rsidRPr="00495DAE">
        <w:rPr>
          <w:sz w:val="24"/>
        </w:rPr>
        <w:t xml:space="preserve">information on more </w:t>
      </w:r>
      <w:r w:rsidR="00B05090" w:rsidRPr="00495DAE">
        <w:rPr>
          <w:sz w:val="24"/>
        </w:rPr>
        <w:t xml:space="preserve">Achaean leaders on the field of Troy (Ajax and Idomeneus).  The same preoccupations with size and </w:t>
      </w:r>
      <w:r w:rsidR="00B05090" w:rsidRPr="00495DAE">
        <w:rPr>
          <w:i/>
          <w:sz w:val="24"/>
        </w:rPr>
        <w:t xml:space="preserve">eikasia </w:t>
      </w:r>
      <w:r w:rsidR="00B05090" w:rsidRPr="00495DAE">
        <w:rPr>
          <w:sz w:val="24"/>
        </w:rPr>
        <w:t>are present in Helen’s answers that complement Pri</w:t>
      </w:r>
      <w:r w:rsidR="004B72E9" w:rsidRPr="00495DAE">
        <w:rPr>
          <w:sz w:val="24"/>
        </w:rPr>
        <w:t xml:space="preserve">am’s speech.  </w:t>
      </w:r>
      <w:r w:rsidR="00E869F6" w:rsidRPr="00495DAE">
        <w:rPr>
          <w:sz w:val="24"/>
        </w:rPr>
        <w:t>This paper focuses on</w:t>
      </w:r>
      <w:r w:rsidR="001500AE" w:rsidRPr="00495DAE">
        <w:rPr>
          <w:sz w:val="24"/>
        </w:rPr>
        <w:t xml:space="preserve"> Priam’s speech </w:t>
      </w:r>
      <w:r w:rsidR="00E869F6" w:rsidRPr="00495DAE">
        <w:rPr>
          <w:sz w:val="24"/>
        </w:rPr>
        <w:t>and aims to shed</w:t>
      </w:r>
      <w:r w:rsidR="00405A3F" w:rsidRPr="00495DAE">
        <w:rPr>
          <w:sz w:val="24"/>
        </w:rPr>
        <w:t xml:space="preserve"> more light to our understanding of interdiscursivity in epic poe</w:t>
      </w:r>
      <w:r w:rsidR="00E869F6" w:rsidRPr="00495DAE">
        <w:rPr>
          <w:sz w:val="24"/>
        </w:rPr>
        <w:t xml:space="preserve">try by highlighting </w:t>
      </w:r>
      <w:r w:rsidR="00405A3F" w:rsidRPr="00495DAE">
        <w:rPr>
          <w:sz w:val="24"/>
        </w:rPr>
        <w:t>the narrative association</w:t>
      </w:r>
      <w:r w:rsidR="00944633" w:rsidRPr="00495DAE">
        <w:rPr>
          <w:sz w:val="24"/>
        </w:rPr>
        <w:t>s</w:t>
      </w:r>
      <w:r w:rsidR="00A231A5" w:rsidRPr="00495DAE">
        <w:rPr>
          <w:sz w:val="24"/>
        </w:rPr>
        <w:t xml:space="preserve"> that Priam’s language conveys</w:t>
      </w:r>
      <w:r w:rsidR="00E869F6" w:rsidRPr="00495DAE">
        <w:rPr>
          <w:sz w:val="24"/>
        </w:rPr>
        <w:t>.  Priam’s language renegotiates</w:t>
      </w:r>
      <w:r w:rsidR="00944633" w:rsidRPr="00495DAE">
        <w:rPr>
          <w:sz w:val="24"/>
        </w:rPr>
        <w:t xml:space="preserve"> Helen’s position in the stories aroun</w:t>
      </w:r>
      <w:r w:rsidR="00E869F6" w:rsidRPr="00495DAE">
        <w:rPr>
          <w:sz w:val="24"/>
        </w:rPr>
        <w:t xml:space="preserve">d Trojan War and places </w:t>
      </w:r>
      <w:r w:rsidR="008844A7" w:rsidRPr="00495DAE">
        <w:rPr>
          <w:sz w:val="24"/>
        </w:rPr>
        <w:t xml:space="preserve">it in </w:t>
      </w:r>
      <w:r w:rsidR="002D3D49" w:rsidRPr="00495DAE">
        <w:rPr>
          <w:sz w:val="24"/>
        </w:rPr>
        <w:t>the context of the poetic tradition</w:t>
      </w:r>
      <w:r w:rsidR="00944633" w:rsidRPr="00495DAE">
        <w:rPr>
          <w:sz w:val="24"/>
        </w:rPr>
        <w:t xml:space="preserve"> around Helen’s suitors.</w:t>
      </w:r>
    </w:p>
    <w:p w:rsidR="00566BF7" w:rsidRPr="00495DAE" w:rsidRDefault="00566BF7" w:rsidP="00566BF7">
      <w:pPr>
        <w:spacing w:line="360" w:lineRule="auto"/>
        <w:jc w:val="both"/>
        <w:rPr>
          <w:sz w:val="24"/>
        </w:rPr>
      </w:pPr>
      <w:r w:rsidRPr="00495DAE">
        <w:rPr>
          <w:sz w:val="24"/>
        </w:rPr>
        <w:t>SELECTED BIBLIOGRAPHY</w:t>
      </w:r>
    </w:p>
    <w:p w:rsidR="0074703E" w:rsidRPr="00495DAE" w:rsidRDefault="00690FD4" w:rsidP="00566BF7">
      <w:pPr>
        <w:spacing w:line="360" w:lineRule="auto"/>
        <w:jc w:val="both"/>
        <w:rPr>
          <w:sz w:val="24"/>
        </w:rPr>
      </w:pPr>
      <w:r w:rsidRPr="00495DAE">
        <w:rPr>
          <w:sz w:val="24"/>
        </w:rPr>
        <w:t xml:space="preserve">Bergren, Ann 1980.  "Helen's Web: Time and Tableau in the </w:t>
      </w:r>
      <w:r w:rsidRPr="00495DAE">
        <w:rPr>
          <w:rStyle w:val="HTMLCite"/>
          <w:rFonts w:eastAsia="Calibri"/>
          <w:sz w:val="24"/>
        </w:rPr>
        <w:t xml:space="preserve">Iliad </w:t>
      </w:r>
      <w:r w:rsidRPr="00495DAE">
        <w:rPr>
          <w:sz w:val="24"/>
        </w:rPr>
        <w:t xml:space="preserve">." </w:t>
      </w:r>
      <w:r w:rsidRPr="00495DAE">
        <w:rPr>
          <w:rStyle w:val="HTMLCite"/>
          <w:rFonts w:eastAsia="Calibri"/>
          <w:sz w:val="24"/>
        </w:rPr>
        <w:t>Helios</w:t>
      </w:r>
      <w:r w:rsidRPr="00495DAE">
        <w:rPr>
          <w:sz w:val="24"/>
        </w:rPr>
        <w:t xml:space="preserve"> 7(1): 19-34</w:t>
      </w:r>
    </w:p>
    <w:p w:rsidR="0074703E" w:rsidRPr="00495DAE" w:rsidRDefault="0074703E" w:rsidP="00566BF7">
      <w:pPr>
        <w:spacing w:line="360" w:lineRule="auto"/>
        <w:jc w:val="both"/>
        <w:rPr>
          <w:sz w:val="24"/>
        </w:rPr>
      </w:pPr>
      <w:r w:rsidRPr="00495DAE">
        <w:rPr>
          <w:sz w:val="24"/>
        </w:rPr>
        <w:t xml:space="preserve">Clader, L.L.  1976.  </w:t>
      </w:r>
      <w:r w:rsidRPr="00495DAE">
        <w:rPr>
          <w:i/>
          <w:sz w:val="24"/>
        </w:rPr>
        <w:t>Helen: The Evolution from Divine to Heroic in Greek Epic Diction</w:t>
      </w:r>
      <w:r w:rsidRPr="00495DAE">
        <w:rPr>
          <w:sz w:val="24"/>
        </w:rPr>
        <w:t>.  Leiden.</w:t>
      </w:r>
    </w:p>
    <w:p w:rsidR="0074703E" w:rsidRPr="00495DAE" w:rsidRDefault="0074703E" w:rsidP="00566BF7">
      <w:pPr>
        <w:spacing w:line="360" w:lineRule="auto"/>
        <w:jc w:val="both"/>
        <w:rPr>
          <w:sz w:val="24"/>
        </w:rPr>
      </w:pPr>
      <w:r w:rsidRPr="00495DAE">
        <w:rPr>
          <w:sz w:val="24"/>
        </w:rPr>
        <w:t xml:space="preserve">Edwards, M.W.  1980.  “Structure of Homeric Catalogues.” </w:t>
      </w:r>
      <w:r w:rsidRPr="00495DAE">
        <w:rPr>
          <w:i/>
          <w:sz w:val="24"/>
        </w:rPr>
        <w:t xml:space="preserve">TAPA </w:t>
      </w:r>
      <w:r w:rsidRPr="00495DAE">
        <w:rPr>
          <w:sz w:val="24"/>
        </w:rPr>
        <w:t>110: 81-105.</w:t>
      </w:r>
    </w:p>
    <w:p w:rsidR="0074703E" w:rsidRPr="00495DAE" w:rsidRDefault="0074703E" w:rsidP="0074703E">
      <w:pPr>
        <w:spacing w:line="360" w:lineRule="auto"/>
        <w:jc w:val="both"/>
        <w:rPr>
          <w:sz w:val="24"/>
        </w:rPr>
      </w:pPr>
      <w:r w:rsidRPr="00495DAE">
        <w:rPr>
          <w:sz w:val="24"/>
        </w:rPr>
        <w:t xml:space="preserve">Elmer, D.  2005.  “Helen Epigrammatopoios” </w:t>
      </w:r>
      <w:r w:rsidRPr="00495DAE">
        <w:rPr>
          <w:i/>
          <w:sz w:val="24"/>
        </w:rPr>
        <w:t>Classical Antiquity</w:t>
      </w:r>
      <w:r w:rsidRPr="00495DAE">
        <w:rPr>
          <w:sz w:val="24"/>
        </w:rPr>
        <w:t xml:space="preserve"> 24.1: 1-39.</w:t>
      </w:r>
    </w:p>
    <w:p w:rsidR="0074703E" w:rsidRPr="00495DAE" w:rsidRDefault="0074703E" w:rsidP="00566BF7">
      <w:pPr>
        <w:spacing w:line="360" w:lineRule="auto"/>
        <w:jc w:val="both"/>
        <w:rPr>
          <w:sz w:val="24"/>
        </w:rPr>
      </w:pPr>
      <w:r w:rsidRPr="00495DAE">
        <w:rPr>
          <w:sz w:val="24"/>
        </w:rPr>
        <w:t xml:space="preserve">Higbie, C.  1995. </w:t>
      </w:r>
      <w:r w:rsidRPr="00495DAE">
        <w:rPr>
          <w:i/>
          <w:sz w:val="24"/>
        </w:rPr>
        <w:t>Heroes’ Names: Homeric Identities</w:t>
      </w:r>
      <w:r w:rsidRPr="00495DAE">
        <w:rPr>
          <w:sz w:val="24"/>
        </w:rPr>
        <w:t>.  New York and London.</w:t>
      </w:r>
    </w:p>
    <w:p w:rsidR="00566BF7" w:rsidRPr="00495DAE" w:rsidRDefault="00566BF7" w:rsidP="00566BF7">
      <w:pPr>
        <w:spacing w:line="360" w:lineRule="auto"/>
        <w:jc w:val="both"/>
        <w:rPr>
          <w:sz w:val="24"/>
        </w:rPr>
      </w:pPr>
      <w:r w:rsidRPr="00495DAE">
        <w:rPr>
          <w:sz w:val="24"/>
        </w:rPr>
        <w:t>Jamison,</w:t>
      </w:r>
      <w:r w:rsidR="0074703E" w:rsidRPr="00495DAE">
        <w:rPr>
          <w:sz w:val="24"/>
        </w:rPr>
        <w:t xml:space="preserve"> S.W.  1994.  “Draupadi on the Walls of Troy: </w:t>
      </w:r>
      <w:r w:rsidR="0074703E" w:rsidRPr="00495DAE">
        <w:rPr>
          <w:i/>
          <w:sz w:val="24"/>
        </w:rPr>
        <w:t>Iliad</w:t>
      </w:r>
      <w:r w:rsidR="0074703E" w:rsidRPr="00495DAE">
        <w:rPr>
          <w:sz w:val="24"/>
        </w:rPr>
        <w:t xml:space="preserve"> 3 from an Indic Perspective.” </w:t>
      </w:r>
      <w:r w:rsidR="0074703E" w:rsidRPr="00495DAE">
        <w:rPr>
          <w:i/>
          <w:sz w:val="24"/>
        </w:rPr>
        <w:t xml:space="preserve">Classical Antiquity </w:t>
      </w:r>
      <w:r w:rsidR="0074703E" w:rsidRPr="00495DAE">
        <w:rPr>
          <w:sz w:val="24"/>
        </w:rPr>
        <w:t>13: 5-16.</w:t>
      </w:r>
      <w:r w:rsidRPr="00495DAE">
        <w:rPr>
          <w:sz w:val="24"/>
        </w:rPr>
        <w:t xml:space="preserve"> </w:t>
      </w:r>
    </w:p>
    <w:p w:rsidR="0074703E" w:rsidRPr="00495DAE" w:rsidRDefault="0074703E" w:rsidP="00566BF7">
      <w:pPr>
        <w:spacing w:line="360" w:lineRule="auto"/>
        <w:jc w:val="both"/>
        <w:rPr>
          <w:sz w:val="24"/>
        </w:rPr>
      </w:pPr>
      <w:r w:rsidRPr="00495DAE">
        <w:rPr>
          <w:sz w:val="24"/>
        </w:rPr>
        <w:t xml:space="preserve">Kakridis, I. 1971. </w:t>
      </w:r>
      <w:r w:rsidRPr="00495DAE">
        <w:rPr>
          <w:i/>
          <w:sz w:val="24"/>
        </w:rPr>
        <w:t>Homer Revisited</w:t>
      </w:r>
      <w:r w:rsidRPr="00495DAE">
        <w:rPr>
          <w:sz w:val="24"/>
        </w:rPr>
        <w:t xml:space="preserve">.  Lund.  </w:t>
      </w:r>
    </w:p>
    <w:p w:rsidR="00FC55CE" w:rsidRPr="00495DAE" w:rsidRDefault="0074703E" w:rsidP="00566BF7">
      <w:pPr>
        <w:spacing w:line="360" w:lineRule="auto"/>
        <w:jc w:val="both"/>
        <w:rPr>
          <w:i/>
          <w:sz w:val="24"/>
        </w:rPr>
      </w:pPr>
      <w:r w:rsidRPr="00495DAE">
        <w:rPr>
          <w:sz w:val="24"/>
        </w:rPr>
        <w:t xml:space="preserve">Mackie, H.  1996.  </w:t>
      </w:r>
      <w:r w:rsidRPr="00495DAE">
        <w:rPr>
          <w:i/>
          <w:sz w:val="24"/>
        </w:rPr>
        <w:t>Talking Trojan: Speech and Community in the Iliad</w:t>
      </w:r>
      <w:r w:rsidRPr="00495DAE">
        <w:rPr>
          <w:sz w:val="24"/>
        </w:rPr>
        <w:t>.  London</w:t>
      </w:r>
      <w:r w:rsidRPr="00495DAE">
        <w:rPr>
          <w:i/>
          <w:sz w:val="24"/>
        </w:rPr>
        <w:t>.</w:t>
      </w:r>
    </w:p>
    <w:p w:rsidR="0074703E" w:rsidRPr="00495DAE" w:rsidRDefault="00FC55CE" w:rsidP="00566BF7">
      <w:pPr>
        <w:spacing w:line="360" w:lineRule="auto"/>
        <w:jc w:val="both"/>
        <w:rPr>
          <w:sz w:val="24"/>
        </w:rPr>
      </w:pPr>
      <w:r w:rsidRPr="00495DAE">
        <w:rPr>
          <w:sz w:val="24"/>
        </w:rPr>
        <w:t xml:space="preserve">Martin, Richard.  2007.  </w:t>
      </w:r>
      <w:r w:rsidR="00E17C78" w:rsidRPr="00495DAE">
        <w:rPr>
          <w:sz w:val="24"/>
        </w:rPr>
        <w:t xml:space="preserve">“Keens from the Absent Chorus: Troy to Ulster.” </w:t>
      </w:r>
      <w:r w:rsidRPr="00495DAE">
        <w:rPr>
          <w:sz w:val="24"/>
        </w:rPr>
        <w:t xml:space="preserve">In </w:t>
      </w:r>
      <w:r w:rsidRPr="00495DAE">
        <w:rPr>
          <w:i/>
          <w:sz w:val="24"/>
        </w:rPr>
        <w:t>Lament: S</w:t>
      </w:r>
      <w:r w:rsidR="00E17C78" w:rsidRPr="00495DAE">
        <w:rPr>
          <w:i/>
          <w:sz w:val="24"/>
        </w:rPr>
        <w:t xml:space="preserve">tudies in Ancient Mediterranean.  </w:t>
      </w:r>
      <w:r w:rsidR="00E17C78" w:rsidRPr="00495DAE">
        <w:rPr>
          <w:sz w:val="24"/>
        </w:rPr>
        <w:t>A. Suter (ed.) Oxford: 118-138.</w:t>
      </w:r>
    </w:p>
    <w:p w:rsidR="0074703E" w:rsidRPr="00495DAE" w:rsidRDefault="0074703E" w:rsidP="00566BF7">
      <w:pPr>
        <w:spacing w:line="360" w:lineRule="auto"/>
        <w:jc w:val="both"/>
        <w:rPr>
          <w:sz w:val="24"/>
        </w:rPr>
      </w:pPr>
      <w:r w:rsidRPr="00495DAE">
        <w:rPr>
          <w:sz w:val="24"/>
        </w:rPr>
        <w:t xml:space="preserve">Postlethwaite N.   1985.  </w:t>
      </w:r>
      <w:r w:rsidR="00A73256" w:rsidRPr="00495DAE">
        <w:rPr>
          <w:sz w:val="24"/>
        </w:rPr>
        <w:t>“</w:t>
      </w:r>
      <w:r w:rsidRPr="00495DAE">
        <w:rPr>
          <w:sz w:val="24"/>
        </w:rPr>
        <w:t xml:space="preserve">The duel of Paris and Menelaos and the Teichoskopia in </w:t>
      </w:r>
      <w:r w:rsidRPr="00495DAE">
        <w:rPr>
          <w:i/>
          <w:sz w:val="24"/>
        </w:rPr>
        <w:t>Iliad</w:t>
      </w:r>
      <w:r w:rsidRPr="00495DAE">
        <w:rPr>
          <w:sz w:val="24"/>
        </w:rPr>
        <w:t xml:space="preserve"> 3.</w:t>
      </w:r>
      <w:r w:rsidR="00A73256" w:rsidRPr="00495DAE">
        <w:rPr>
          <w:sz w:val="24"/>
        </w:rPr>
        <w:t>”</w:t>
      </w:r>
      <w:r w:rsidR="00690FD4" w:rsidRPr="00495DAE">
        <w:rPr>
          <w:sz w:val="24"/>
        </w:rPr>
        <w:t xml:space="preserve"> </w:t>
      </w:r>
      <w:r w:rsidR="00690FD4" w:rsidRPr="00495DAE">
        <w:rPr>
          <w:i/>
          <w:sz w:val="24"/>
        </w:rPr>
        <w:t>Anthichthon</w:t>
      </w:r>
      <w:r w:rsidRPr="00495DAE">
        <w:rPr>
          <w:sz w:val="24"/>
        </w:rPr>
        <w:t xml:space="preserve"> </w:t>
      </w:r>
      <w:r w:rsidR="00690FD4" w:rsidRPr="00495DAE">
        <w:rPr>
          <w:sz w:val="24"/>
        </w:rPr>
        <w:t>19</w:t>
      </w:r>
      <w:r w:rsidRPr="00495DAE">
        <w:rPr>
          <w:sz w:val="24"/>
        </w:rPr>
        <w:t>: 1-6.</w:t>
      </w:r>
    </w:p>
    <w:p w:rsidR="00690FD4" w:rsidRPr="00495DAE" w:rsidRDefault="00690FD4" w:rsidP="00566BF7">
      <w:pPr>
        <w:spacing w:line="360" w:lineRule="auto"/>
        <w:jc w:val="both"/>
        <w:rPr>
          <w:sz w:val="24"/>
        </w:rPr>
      </w:pPr>
      <w:r w:rsidRPr="00495DAE">
        <w:rPr>
          <w:sz w:val="24"/>
        </w:rPr>
        <w:t>Pucci, P.  2003.  “Prosopop</w:t>
      </w:r>
      <w:r w:rsidRPr="00495DAE">
        <w:rPr>
          <w:rStyle w:val="Emphasis"/>
          <w:b w:val="0"/>
          <w:color w:val="000000"/>
          <w:sz w:val="24"/>
        </w:rPr>
        <w:t>é</w:t>
      </w:r>
      <w:r w:rsidRPr="00495DAE">
        <w:rPr>
          <w:sz w:val="24"/>
        </w:rPr>
        <w:t xml:space="preserve">e d’ </w:t>
      </w:r>
      <w:r w:rsidRPr="00495DAE">
        <w:rPr>
          <w:rStyle w:val="Emphasis"/>
          <w:b w:val="0"/>
          <w:color w:val="000000"/>
          <w:sz w:val="24"/>
        </w:rPr>
        <w:t>Hélène</w:t>
      </w:r>
      <w:r w:rsidRPr="00495DAE">
        <w:rPr>
          <w:b/>
          <w:sz w:val="24"/>
        </w:rPr>
        <w:t>.</w:t>
      </w:r>
      <w:r w:rsidRPr="00495DAE">
        <w:rPr>
          <w:sz w:val="24"/>
        </w:rPr>
        <w:t xml:space="preserve">” </w:t>
      </w:r>
      <w:r w:rsidRPr="00495DAE">
        <w:rPr>
          <w:i/>
          <w:sz w:val="24"/>
        </w:rPr>
        <w:t>Le mythe d’</w:t>
      </w:r>
      <w:r w:rsidRPr="00495DAE">
        <w:rPr>
          <w:rStyle w:val="Emphasis"/>
          <w:b w:val="0"/>
          <w:color w:val="000000"/>
          <w:sz w:val="24"/>
        </w:rPr>
        <w:t xml:space="preserve"> Hélène</w:t>
      </w:r>
      <w:r w:rsidRPr="00495DAE">
        <w:rPr>
          <w:sz w:val="24"/>
        </w:rPr>
        <w:t>, ed. M. Broze et al., 89-119.  Brussels.</w:t>
      </w:r>
    </w:p>
    <w:p w:rsidR="00542242" w:rsidRPr="00495DAE" w:rsidRDefault="00A73256" w:rsidP="00566BF7">
      <w:pPr>
        <w:spacing w:line="360" w:lineRule="auto"/>
        <w:jc w:val="both"/>
        <w:rPr>
          <w:sz w:val="24"/>
        </w:rPr>
      </w:pPr>
      <w:r w:rsidRPr="00495DAE">
        <w:rPr>
          <w:sz w:val="24"/>
        </w:rPr>
        <w:t>Roisman, H.  2006.  “</w:t>
      </w:r>
      <w:r w:rsidR="00542242" w:rsidRPr="00495DAE">
        <w:rPr>
          <w:sz w:val="24"/>
        </w:rPr>
        <w:t xml:space="preserve">Helen in the Iliad; Causa Belli and Victim of War: From </w:t>
      </w:r>
      <w:r w:rsidRPr="00495DAE">
        <w:rPr>
          <w:sz w:val="24"/>
        </w:rPr>
        <w:t>Silent Weaver to Public Speaker”</w:t>
      </w:r>
      <w:r w:rsidR="00542242" w:rsidRPr="00495DAE">
        <w:rPr>
          <w:sz w:val="24"/>
        </w:rPr>
        <w:t xml:space="preserve"> </w:t>
      </w:r>
      <w:r w:rsidR="00542242" w:rsidRPr="00495DAE">
        <w:rPr>
          <w:i/>
          <w:iCs/>
          <w:sz w:val="24"/>
        </w:rPr>
        <w:t>A</w:t>
      </w:r>
      <w:r w:rsidRPr="00495DAE">
        <w:rPr>
          <w:i/>
          <w:iCs/>
          <w:sz w:val="24"/>
        </w:rPr>
        <w:t xml:space="preserve">merican </w:t>
      </w:r>
      <w:r w:rsidR="00542242" w:rsidRPr="00495DAE">
        <w:rPr>
          <w:i/>
          <w:iCs/>
          <w:sz w:val="24"/>
        </w:rPr>
        <w:t>J</w:t>
      </w:r>
      <w:r w:rsidRPr="00495DAE">
        <w:rPr>
          <w:i/>
          <w:iCs/>
          <w:sz w:val="24"/>
        </w:rPr>
        <w:t xml:space="preserve">ournal of </w:t>
      </w:r>
      <w:r w:rsidR="00542242" w:rsidRPr="00495DAE">
        <w:rPr>
          <w:i/>
          <w:iCs/>
          <w:sz w:val="24"/>
        </w:rPr>
        <w:t>Ph</w:t>
      </w:r>
      <w:r w:rsidRPr="00495DAE">
        <w:rPr>
          <w:i/>
          <w:iCs/>
          <w:sz w:val="24"/>
        </w:rPr>
        <w:t>ilology</w:t>
      </w:r>
      <w:r w:rsidR="00542242" w:rsidRPr="00495DAE">
        <w:rPr>
          <w:sz w:val="24"/>
        </w:rPr>
        <w:t xml:space="preserve"> 127.1: 1-36</w:t>
      </w:r>
    </w:p>
    <w:p w:rsidR="00542242" w:rsidRPr="00495DAE" w:rsidRDefault="00542242" w:rsidP="00566BF7">
      <w:pPr>
        <w:spacing w:line="360" w:lineRule="auto"/>
        <w:jc w:val="both"/>
        <w:rPr>
          <w:sz w:val="24"/>
        </w:rPr>
      </w:pPr>
      <w:r w:rsidRPr="00495DAE">
        <w:rPr>
          <w:sz w:val="24"/>
        </w:rPr>
        <w:t xml:space="preserve">Tsagalis, C.  2008.  </w:t>
      </w:r>
      <w:r w:rsidRPr="00495DAE">
        <w:rPr>
          <w:i/>
          <w:sz w:val="24"/>
        </w:rPr>
        <w:t>The Oral Palimpsest: Exploring Intertextuality in the Homeric Epics</w:t>
      </w:r>
      <w:r w:rsidRPr="00495DAE">
        <w:rPr>
          <w:sz w:val="24"/>
        </w:rPr>
        <w:t>.  Washington DC: Center for Hellenic Studies.</w:t>
      </w:r>
    </w:p>
    <w:p w:rsidR="00542242" w:rsidRPr="00495DAE" w:rsidRDefault="00542242" w:rsidP="00566BF7">
      <w:pPr>
        <w:spacing w:line="360" w:lineRule="auto"/>
        <w:jc w:val="both"/>
        <w:rPr>
          <w:sz w:val="24"/>
        </w:rPr>
      </w:pPr>
      <w:r w:rsidRPr="00495DAE">
        <w:rPr>
          <w:sz w:val="24"/>
        </w:rPr>
        <w:t xml:space="preserve">Tsagarakis O.  1982.  “The teichoskopia cannot belong in the beginning of the Trojan war.” </w:t>
      </w:r>
      <w:hyperlink r:id="rId7" w:tooltip="QUCC = Quaderni Urbinati di Cultura Classica" w:history="1">
        <w:r w:rsidRPr="00495DAE">
          <w:rPr>
            <w:rStyle w:val="Hyperlink"/>
            <w:color w:val="auto"/>
            <w:sz w:val="24"/>
            <w:u w:val="none"/>
          </w:rPr>
          <w:t>QUCC</w:t>
        </w:r>
      </w:hyperlink>
      <w:r w:rsidRPr="00495DAE">
        <w:rPr>
          <w:sz w:val="24"/>
        </w:rPr>
        <w:t xml:space="preserve"> 41 : 61-72.</w:t>
      </w:r>
    </w:p>
    <w:p w:rsidR="0074703E" w:rsidRPr="00495DAE" w:rsidRDefault="0074703E" w:rsidP="00566BF7">
      <w:pPr>
        <w:spacing w:line="360" w:lineRule="auto"/>
        <w:jc w:val="both"/>
        <w:rPr>
          <w:sz w:val="24"/>
        </w:rPr>
      </w:pPr>
      <w:r w:rsidRPr="00495DAE">
        <w:rPr>
          <w:sz w:val="24"/>
        </w:rPr>
        <w:t xml:space="preserve">Worman 2001.  “This Voice which is Not One: Helen’s Verbal Guises in Homeric Epic.” In </w:t>
      </w:r>
      <w:r w:rsidRPr="00495DAE">
        <w:rPr>
          <w:i/>
          <w:sz w:val="24"/>
        </w:rPr>
        <w:t>Making Silence Speak: Women’s Voices in Greek Literature and Society</w:t>
      </w:r>
      <w:r w:rsidRPr="00495DAE">
        <w:rPr>
          <w:sz w:val="24"/>
        </w:rPr>
        <w:t>, ed. A. Lardinois and L. McClure, 19-37. Princeton.</w:t>
      </w:r>
    </w:p>
    <w:sectPr w:rsidR="0074703E" w:rsidRPr="00495DAE" w:rsidSect="0045550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2F6" w:rsidRDefault="003A72F6" w:rsidP="00405A3F">
      <w:pPr>
        <w:spacing w:after="0" w:line="240" w:lineRule="auto"/>
      </w:pPr>
      <w:r>
        <w:separator/>
      </w:r>
    </w:p>
  </w:endnote>
  <w:endnote w:type="continuationSeparator" w:id="0">
    <w:p w:rsidR="003A72F6" w:rsidRDefault="003A72F6" w:rsidP="00405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2F6" w:rsidRDefault="003A72F6" w:rsidP="00405A3F">
      <w:pPr>
        <w:spacing w:after="0" w:line="240" w:lineRule="auto"/>
      </w:pPr>
      <w:r>
        <w:separator/>
      </w:r>
    </w:p>
  </w:footnote>
  <w:footnote w:type="continuationSeparator" w:id="0">
    <w:p w:rsidR="003A72F6" w:rsidRDefault="003A72F6" w:rsidP="00405A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405A3F"/>
    <w:rsid w:val="000169BF"/>
    <w:rsid w:val="00060365"/>
    <w:rsid w:val="000C27A4"/>
    <w:rsid w:val="000E0BBB"/>
    <w:rsid w:val="000F0A31"/>
    <w:rsid w:val="001500AE"/>
    <w:rsid w:val="00150DFF"/>
    <w:rsid w:val="00210F7C"/>
    <w:rsid w:val="00256572"/>
    <w:rsid w:val="002A2EE6"/>
    <w:rsid w:val="002B4FF9"/>
    <w:rsid w:val="002D3D49"/>
    <w:rsid w:val="0033485F"/>
    <w:rsid w:val="003A72F6"/>
    <w:rsid w:val="00405A3F"/>
    <w:rsid w:val="00455507"/>
    <w:rsid w:val="00495DAE"/>
    <w:rsid w:val="004B72E9"/>
    <w:rsid w:val="00520E59"/>
    <w:rsid w:val="00542242"/>
    <w:rsid w:val="00566BF7"/>
    <w:rsid w:val="005B5CC1"/>
    <w:rsid w:val="0064036F"/>
    <w:rsid w:val="00690FD4"/>
    <w:rsid w:val="006B4059"/>
    <w:rsid w:val="006C193D"/>
    <w:rsid w:val="0070093B"/>
    <w:rsid w:val="007405B2"/>
    <w:rsid w:val="00746EB3"/>
    <w:rsid w:val="0074703E"/>
    <w:rsid w:val="00792B4D"/>
    <w:rsid w:val="007C2511"/>
    <w:rsid w:val="007F47FB"/>
    <w:rsid w:val="00824E63"/>
    <w:rsid w:val="00831064"/>
    <w:rsid w:val="00867769"/>
    <w:rsid w:val="008731F3"/>
    <w:rsid w:val="008844A7"/>
    <w:rsid w:val="00944633"/>
    <w:rsid w:val="00A231A5"/>
    <w:rsid w:val="00A73256"/>
    <w:rsid w:val="00B05090"/>
    <w:rsid w:val="00B81B88"/>
    <w:rsid w:val="00BF12B0"/>
    <w:rsid w:val="00C21408"/>
    <w:rsid w:val="00C72647"/>
    <w:rsid w:val="00C86CF1"/>
    <w:rsid w:val="00CC5349"/>
    <w:rsid w:val="00D16E5E"/>
    <w:rsid w:val="00D258E1"/>
    <w:rsid w:val="00D46BB4"/>
    <w:rsid w:val="00DC4305"/>
    <w:rsid w:val="00E11DBD"/>
    <w:rsid w:val="00E17C78"/>
    <w:rsid w:val="00E869F6"/>
    <w:rsid w:val="00F00B7D"/>
    <w:rsid w:val="00FC55CE"/>
    <w:rsid w:val="00FD6B1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7D"/>
    <w:pPr>
      <w:spacing w:after="200" w:line="276" w:lineRule="auto"/>
      <w:jc w:val="left"/>
    </w:pPr>
    <w:rPr>
      <w:bCs w:val="0"/>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rsid w:val="00405A3F"/>
    <w:pPr>
      <w:spacing w:after="0" w:line="240" w:lineRule="auto"/>
    </w:pPr>
    <w:rPr>
      <w:rFonts w:eastAsia="Calibri"/>
      <w:sz w:val="20"/>
      <w:szCs w:val="20"/>
      <w:lang w:bidi="ar-SA"/>
    </w:rPr>
  </w:style>
  <w:style w:type="character" w:customStyle="1" w:styleId="FootnoteTextChar">
    <w:name w:val="Footnote Text Char"/>
    <w:basedOn w:val="DefaultParagraphFont"/>
    <w:link w:val="FootnoteText"/>
    <w:rsid w:val="00405A3F"/>
    <w:rPr>
      <w:rFonts w:eastAsia="Calibri"/>
      <w:bCs w:val="0"/>
      <w:sz w:val="20"/>
      <w:szCs w:val="20"/>
    </w:rPr>
  </w:style>
  <w:style w:type="character" w:styleId="FootnoteReference">
    <w:name w:val="footnote reference"/>
    <w:basedOn w:val="DefaultParagraphFont"/>
    <w:semiHidden/>
    <w:rsid w:val="00405A3F"/>
    <w:rPr>
      <w:rFonts w:cs="Times New Roman"/>
      <w:vertAlign w:val="superscript"/>
    </w:rPr>
  </w:style>
  <w:style w:type="character" w:styleId="Hyperlink">
    <w:name w:val="Hyperlink"/>
    <w:basedOn w:val="DefaultParagraphFont"/>
    <w:uiPriority w:val="99"/>
    <w:unhideWhenUsed/>
    <w:rsid w:val="0074703E"/>
    <w:rPr>
      <w:color w:val="0000FF" w:themeColor="hyperlink"/>
      <w:u w:val="single"/>
    </w:rPr>
  </w:style>
  <w:style w:type="character" w:styleId="HTMLCite">
    <w:name w:val="HTML Cite"/>
    <w:basedOn w:val="DefaultParagraphFont"/>
    <w:uiPriority w:val="99"/>
    <w:semiHidden/>
    <w:unhideWhenUsed/>
    <w:rsid w:val="00690FD4"/>
    <w:rPr>
      <w:i/>
      <w:iCs/>
    </w:rPr>
  </w:style>
  <w:style w:type="character" w:styleId="Emphasis">
    <w:name w:val="Emphasis"/>
    <w:basedOn w:val="DefaultParagraphFont"/>
    <w:uiPriority w:val="20"/>
    <w:qFormat/>
    <w:rsid w:val="00690FD4"/>
    <w:rPr>
      <w:b/>
      <w:bCs/>
      <w:i w:val="0"/>
      <w:i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yperlink" Target="http://www.annee-philologique.com.ezp-prod1.hul.harvard.edu/aph/index.php?do=notice&amp;num=7" TargetMode="Externa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221C-73F1-F24E-97DF-ADCFC7D1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786</Words>
  <Characters>4211</Characters>
  <Application>Microsoft Macintosh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5</cp:revision>
  <cp:lastPrinted>2010-05-03T21:16:00Z</cp:lastPrinted>
  <dcterms:created xsi:type="dcterms:W3CDTF">2010-09-20T20:31:00Z</dcterms:created>
  <dcterms:modified xsi:type="dcterms:W3CDTF">2010-09-28T22:30:00Z</dcterms:modified>
  <cp:category/>
</cp:coreProperties>
</file>