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7F2" w:rsidRPr="007027F2" w:rsidRDefault="00C05877">
      <w:pPr>
        <w:jc w:val="center"/>
        <w:rPr>
          <w:rFonts w:asciiTheme="majorHAnsi" w:hAnsiTheme="majorHAnsi" w:cs="Times New Roman"/>
        </w:rPr>
      </w:pPr>
      <w:r w:rsidRPr="007027F2">
        <w:rPr>
          <w:rFonts w:asciiTheme="majorHAnsi" w:hAnsiTheme="majorHAnsi" w:cs="New Athena Unicode"/>
        </w:rPr>
        <w:t>The</w:t>
      </w:r>
      <w:r w:rsidRPr="007027F2">
        <w:rPr>
          <w:rFonts w:asciiTheme="majorHAnsi" w:hAnsiTheme="majorHAnsi" w:cs="Times New Roman"/>
        </w:rPr>
        <w:t xml:space="preserve"> </w:t>
      </w:r>
      <w:r w:rsidRPr="007027F2">
        <w:rPr>
          <w:rFonts w:asciiTheme="majorHAnsi" w:hAnsiTheme="majorHAnsi" w:cs="Times New Roman"/>
          <w:i/>
        </w:rPr>
        <w:t>Argo</w:t>
      </w:r>
      <w:r w:rsidRPr="007027F2">
        <w:rPr>
          <w:rFonts w:asciiTheme="majorHAnsi" w:hAnsiTheme="majorHAnsi" w:cs="Times New Roman"/>
        </w:rPr>
        <w:t xml:space="preserve"> in the Underbrush: A Note on Theocritus 13.41</w:t>
      </w:r>
    </w:p>
    <w:p w:rsidR="00716BF8" w:rsidRPr="007027F2" w:rsidRDefault="00716BF8">
      <w:pPr>
        <w:jc w:val="cente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ab/>
      </w:r>
      <w:r>
        <w:rPr>
          <w:rFonts w:asciiTheme="majorHAnsi" w:hAnsiTheme="majorHAnsi" w:cs="Times New Roman"/>
        </w:rPr>
        <w:t>A</w:t>
      </w:r>
      <w:r w:rsidRPr="007027F2">
        <w:rPr>
          <w:rFonts w:asciiTheme="majorHAnsi" w:hAnsiTheme="majorHAnsi" w:cs="Times New Roman"/>
        </w:rPr>
        <w:t xml:space="preserve">s Hylas embarks on his fateful errand to draw water for Heracles and Telamon, he wanders through a Theocritean </w:t>
      </w:r>
      <w:r w:rsidRPr="007027F2">
        <w:rPr>
          <w:rFonts w:asciiTheme="majorHAnsi" w:hAnsiTheme="majorHAnsi" w:cs="Times New Roman"/>
          <w:i/>
        </w:rPr>
        <w:t>locus amoenus</w:t>
      </w:r>
      <w:r w:rsidRPr="007027F2">
        <w:rPr>
          <w:rFonts w:asciiTheme="majorHAnsi" w:hAnsiTheme="majorHAnsi" w:cs="Times New Roman"/>
        </w:rPr>
        <w:t xml:space="preserve"> oddly populated with</w:t>
      </w:r>
      <w:r w:rsidRPr="007027F2">
        <w:rPr>
          <w:rFonts w:asciiTheme="majorHAnsi" w:hAnsiTheme="majorHAnsi" w:cs="Helvetica"/>
        </w:rPr>
        <w:t xml:space="preserve"> </w:t>
      </w:r>
      <w:r w:rsidRPr="007027F2">
        <w:rPr>
          <w:rFonts w:asciiTheme="majorHAnsi" w:hAnsiTheme="majorHAnsi" w:cs="New Athena Unicode"/>
        </w:rPr>
        <w:t>κυάνεον χελιδόνιον</w:t>
      </w:r>
      <w:r w:rsidRPr="007027F2">
        <w:rPr>
          <w:rFonts w:asciiTheme="majorHAnsi" w:hAnsiTheme="majorHAnsi" w:cs="Times New Roman"/>
        </w:rPr>
        <w:t xml:space="preserve">, “dark celandine” (13.41). No variety of celandine can be remotely considered dark hued. There are no other literary representations of this plant as such. Since Theocritus generally provides physically and topographically plausible descriptions of his trees, plants and flowers (Lindsell, </w:t>
      </w:r>
      <w:r w:rsidRPr="007027F2">
        <w:rPr>
          <w:rFonts w:asciiTheme="majorHAnsi" w:hAnsiTheme="majorHAnsi" w:cs="Times New Roman"/>
          <w:i/>
        </w:rPr>
        <w:t>passim</w:t>
      </w:r>
      <w:r w:rsidRPr="007027F2">
        <w:rPr>
          <w:rFonts w:asciiTheme="majorHAnsi" w:hAnsiTheme="majorHAnsi" w:cs="Times New Roman"/>
        </w:rPr>
        <w:t xml:space="preserve"> and esp. 80-2; Lembach, 91-3; Amigues 1996: 473-5) even as he embraces and embellishes literary representations of nature (Hunter, 12-13 and 191-3 nn. 135-47), commentators have been mystified by (or silent about) this description (Σ 13.41a; Gow, 2. 239 n. 41; Dover, 185; cf. Hunter, 277 n. 41; cf. Amigues 1996: 479). In this paper, I will argue that </w:t>
      </w:r>
      <w:r w:rsidRPr="007027F2">
        <w:rPr>
          <w:rFonts w:asciiTheme="majorHAnsi" w:hAnsiTheme="majorHAnsi" w:cs="Helvetica"/>
        </w:rPr>
        <w:t xml:space="preserve">Theocritus describes </w:t>
      </w:r>
      <w:r w:rsidRPr="007027F2">
        <w:rPr>
          <w:rFonts w:asciiTheme="majorHAnsi" w:hAnsiTheme="majorHAnsi" w:cs="New Athena Unicode"/>
        </w:rPr>
        <w:t>χελιδόνιον</w:t>
      </w:r>
      <w:r w:rsidRPr="007027F2">
        <w:rPr>
          <w:rFonts w:asciiTheme="majorHAnsi" w:hAnsiTheme="majorHAnsi" w:cs="Helvetica"/>
        </w:rPr>
        <w:t xml:space="preserve"> as </w:t>
      </w:r>
      <w:r w:rsidRPr="007027F2">
        <w:rPr>
          <w:rFonts w:asciiTheme="majorHAnsi" w:hAnsiTheme="majorHAnsi" w:cs="New Athena Unicode"/>
        </w:rPr>
        <w:t>κυάνεον</w:t>
      </w:r>
      <w:r w:rsidRPr="007027F2">
        <w:rPr>
          <w:rFonts w:asciiTheme="majorHAnsi" w:hAnsiTheme="majorHAnsi" w:cs="Times New Roman"/>
        </w:rPr>
        <w:t xml:space="preserve"> in order to create an elaborate geographical allusion that affiliates his “dark celandine” with the mythical Clashing Rocks. Theocritus thereby pointedly suggests that for the hero, even a hero like Heracles, insurmountable trials do not reside in traditional epic locales but surreptitiously within the common retinue of the poet’s bucolic plants.</w:t>
      </w:r>
      <w:r w:rsidRPr="007027F2">
        <w:rPr>
          <w:rFonts w:asciiTheme="majorHAnsi" w:hAnsiTheme="majorHAnsi" w:cs="Helvetica"/>
        </w:rPr>
        <w:t xml:space="preserve"> </w:t>
      </w:r>
    </w:p>
    <w:p w:rsidR="00716BF8" w:rsidRPr="007027F2" w:rsidRDefault="00C05877">
      <w:pPr>
        <w:rPr>
          <w:rFonts w:asciiTheme="majorHAnsi" w:hAnsiTheme="majorHAnsi"/>
        </w:rPr>
      </w:pPr>
      <w:r w:rsidRPr="007027F2">
        <w:rPr>
          <w:rFonts w:asciiTheme="majorHAnsi" w:hAnsiTheme="majorHAnsi" w:cs="Helvetica"/>
        </w:rPr>
        <w:tab/>
      </w:r>
      <w:r w:rsidRPr="007027F2">
        <w:rPr>
          <w:rFonts w:asciiTheme="majorHAnsi" w:hAnsiTheme="majorHAnsi" w:cs="Times New Roman"/>
        </w:rPr>
        <w:t>The Peace of Callias, at least as it was imagined and transmitted in Antiquity, stipulated that a Persian warship could not sail inside the Cynaean Rocks and Chelidonian Islands:</w:t>
      </w:r>
      <w:r w:rsidRPr="007027F2">
        <w:rPr>
          <w:rFonts w:asciiTheme="majorHAnsi" w:hAnsiTheme="majorHAnsi" w:cs="Helvetica"/>
        </w:rPr>
        <w:t xml:space="preserve"> </w:t>
      </w:r>
      <w:r w:rsidRPr="007027F2">
        <w:rPr>
          <w:rFonts w:asciiTheme="majorHAnsi" w:hAnsiTheme="majorHAnsi" w:cs="New Athena Unicode"/>
        </w:rPr>
        <w:t>ἔνδον δὲ Κυανέων και Χελιδονίων μακρᾷ νηὶ καὶ χαλκεμβόλῳ μὴ πλέειν</w:t>
      </w:r>
      <w:r w:rsidRPr="007027F2">
        <w:rPr>
          <w:rFonts w:asciiTheme="majorHAnsi" w:hAnsiTheme="majorHAnsi" w:cs="Helvetica"/>
        </w:rPr>
        <w:t xml:space="preserve"> </w:t>
      </w:r>
      <w:r w:rsidRPr="007027F2">
        <w:rPr>
          <w:rFonts w:asciiTheme="majorHAnsi" w:hAnsiTheme="majorHAnsi" w:cs="Times New Roman"/>
        </w:rPr>
        <w:t xml:space="preserve">(Callisthenes 2b 124 F frag. 16 line 3[Jacoby]; Crater. frag. 7; Aristodem. 2a 104 F frag. 1 line 250 [ Jacoby]; Plu. </w:t>
      </w:r>
      <w:r w:rsidRPr="007027F2">
        <w:rPr>
          <w:rFonts w:asciiTheme="majorHAnsi" w:hAnsiTheme="majorHAnsi" w:cs="Times New Roman"/>
          <w:i/>
        </w:rPr>
        <w:t>Cim</w:t>
      </w:r>
      <w:r w:rsidRPr="007027F2">
        <w:rPr>
          <w:rFonts w:asciiTheme="majorHAnsi" w:hAnsiTheme="majorHAnsi" w:cs="Times New Roman"/>
        </w:rPr>
        <w:t>. 13.4)</w:t>
      </w:r>
      <w:r w:rsidRPr="007027F2">
        <w:rPr>
          <w:rFonts w:asciiTheme="majorHAnsi" w:hAnsiTheme="majorHAnsi" w:cs="Helvetica"/>
        </w:rPr>
        <w:t xml:space="preserve">. </w:t>
      </w:r>
      <w:r w:rsidRPr="007027F2">
        <w:rPr>
          <w:rFonts w:asciiTheme="majorHAnsi" w:hAnsiTheme="majorHAnsi" w:cs="Times New Roman"/>
        </w:rPr>
        <w:t xml:space="preserve">This provision becomes virtually a fixed phrase as it is repeatedly transmitted </w:t>
      </w:r>
      <w:r w:rsidRPr="007027F2">
        <w:rPr>
          <w:rFonts w:asciiTheme="majorHAnsi" w:hAnsiTheme="majorHAnsi" w:cs="Times New Roman"/>
          <w:i/>
        </w:rPr>
        <w:t>verbatim</w:t>
      </w:r>
      <w:r w:rsidRPr="007027F2">
        <w:rPr>
          <w:rFonts w:asciiTheme="majorHAnsi" w:hAnsiTheme="majorHAnsi" w:cs="Times New Roman"/>
        </w:rPr>
        <w:t xml:space="preserve"> by the sources (cf. Dem. 19.273 for a variant). Using these landmarks as a boundary within so vital a treaty clearly indicates that the Cyanean Rocks and the neighboring Chelidonian Islands were well-known and closely associated </w:t>
      </w:r>
      <w:r w:rsidRPr="007027F2">
        <w:rPr>
          <w:rFonts w:asciiTheme="majorHAnsi" w:hAnsiTheme="majorHAnsi" w:cs="Times New Roman"/>
          <w:i/>
        </w:rPr>
        <w:t>topoi</w:t>
      </w:r>
      <w:r w:rsidRPr="007027F2">
        <w:rPr>
          <w:rFonts w:asciiTheme="majorHAnsi" w:hAnsiTheme="majorHAnsi" w:cs="Times New Roman"/>
        </w:rPr>
        <w:t xml:space="preserve"> by at least the 4th</w:t>
      </w:r>
      <w:r w:rsidRPr="007027F2">
        <w:rPr>
          <w:rFonts w:asciiTheme="majorHAnsi" w:hAnsiTheme="majorHAnsi" w:cs="Times New Roman"/>
          <w:vertAlign w:val="superscript"/>
        </w:rPr>
        <w:t>th</w:t>
      </w:r>
      <w:r w:rsidRPr="007027F2">
        <w:rPr>
          <w:rFonts w:asciiTheme="majorHAnsi" w:hAnsiTheme="majorHAnsi" w:cs="Times New Roman"/>
        </w:rPr>
        <w:t xml:space="preserve"> century BCE. The Cyanean Rocks themselves are the historic remnants of the mythical Clashing Rocks (e.g. Hdt. 4.85.1; Str. 3.2.12). In popular and historical imaginations, the Cyanean Rocks and so the Symplegades are firmly rooted adjacent to the Chelidonian Islands. Theocritus’</w:t>
      </w:r>
      <w:r w:rsidRPr="007027F2">
        <w:rPr>
          <w:rFonts w:asciiTheme="majorHAnsi" w:hAnsiTheme="majorHAnsi" w:cs="Helvetica"/>
        </w:rPr>
        <w:t xml:space="preserve"> </w:t>
      </w:r>
      <w:r w:rsidRPr="007027F2">
        <w:rPr>
          <w:rFonts w:asciiTheme="majorHAnsi" w:hAnsiTheme="majorHAnsi" w:cs="New Athena Unicode"/>
        </w:rPr>
        <w:t>κυάνεόν τε χελιδόνιον</w:t>
      </w:r>
      <w:r w:rsidRPr="007027F2">
        <w:rPr>
          <w:rFonts w:asciiTheme="majorHAnsi" w:hAnsiTheme="majorHAnsi" w:cs="Helvetica"/>
        </w:rPr>
        <w:t xml:space="preserve"> </w:t>
      </w:r>
      <w:r w:rsidRPr="007027F2">
        <w:rPr>
          <w:rFonts w:asciiTheme="majorHAnsi" w:hAnsiTheme="majorHAnsi" w:cs="Times New Roman"/>
        </w:rPr>
        <w:t xml:space="preserve">mimics that geographical proximity. </w:t>
      </w:r>
    </w:p>
    <w:p w:rsidR="00716BF8" w:rsidRPr="007027F2" w:rsidRDefault="00C05877">
      <w:pPr>
        <w:rPr>
          <w:rFonts w:asciiTheme="majorHAnsi" w:hAnsiTheme="majorHAnsi"/>
        </w:rPr>
      </w:pPr>
      <w:r w:rsidRPr="007027F2">
        <w:rPr>
          <w:rFonts w:asciiTheme="majorHAnsi" w:hAnsiTheme="majorHAnsi" w:cs="Helvetica"/>
        </w:rPr>
        <w:tab/>
      </w:r>
      <w:r w:rsidRPr="007027F2">
        <w:rPr>
          <w:rFonts w:asciiTheme="majorHAnsi" w:hAnsiTheme="majorHAnsi" w:cs="Times New Roman"/>
        </w:rPr>
        <w:t xml:space="preserve">By the </w:t>
      </w:r>
      <w:r w:rsidRPr="007027F2">
        <w:rPr>
          <w:rFonts w:asciiTheme="majorHAnsi" w:hAnsiTheme="majorHAnsi" w:cs="Times New Roman"/>
          <w:i/>
        </w:rPr>
        <w:t>aural</w:t>
      </w:r>
      <w:r w:rsidRPr="007027F2">
        <w:rPr>
          <w:rFonts w:asciiTheme="majorHAnsi" w:hAnsiTheme="majorHAnsi" w:cs="Times New Roman"/>
        </w:rPr>
        <w:t xml:space="preserve"> association of the otherwise inexplicable “dark celandine” with the historical locale of the mythic Symplegades, Theocritus subsumes the Clashing Rocks and all of their attendant dangers within the tendrils and the vines of his Nymphs’ watery spot. As the </w:t>
      </w:r>
      <w:r w:rsidRPr="007027F2">
        <w:rPr>
          <w:rFonts w:asciiTheme="majorHAnsi" w:hAnsiTheme="majorHAnsi" w:cs="New Athena Unicode"/>
        </w:rPr>
        <w:t>κυάνεον χελιδόνιον</w:t>
      </w:r>
      <w:r w:rsidRPr="007027F2">
        <w:rPr>
          <w:rFonts w:asciiTheme="majorHAnsi" w:hAnsiTheme="majorHAnsi" w:cs="Helvetica"/>
        </w:rPr>
        <w:t xml:space="preserve"> </w:t>
      </w:r>
      <w:r w:rsidRPr="007027F2">
        <w:rPr>
          <w:rFonts w:asciiTheme="majorHAnsi" w:hAnsiTheme="majorHAnsi" w:cs="Times New Roman"/>
        </w:rPr>
        <w:t xml:space="preserve">forebodes, the heroic </w:t>
      </w:r>
      <w:r w:rsidRPr="007027F2">
        <w:rPr>
          <w:rFonts w:asciiTheme="majorHAnsi" w:hAnsiTheme="majorHAnsi" w:cs="Times New Roman"/>
          <w:i/>
        </w:rPr>
        <w:t>duseros</w:t>
      </w:r>
      <w:r w:rsidRPr="007027F2">
        <w:rPr>
          <w:rFonts w:asciiTheme="majorHAnsi" w:hAnsiTheme="majorHAnsi" w:cs="Times New Roman"/>
        </w:rPr>
        <w:t xml:space="preserve">, Heracles, will find the erotic hazards of this Mysian </w:t>
      </w:r>
      <w:r w:rsidRPr="007027F2">
        <w:rPr>
          <w:rFonts w:asciiTheme="majorHAnsi" w:hAnsiTheme="majorHAnsi" w:cs="Times New Roman"/>
          <w:i/>
        </w:rPr>
        <w:t>locus amoenus</w:t>
      </w:r>
      <w:r w:rsidRPr="007027F2">
        <w:rPr>
          <w:rFonts w:asciiTheme="majorHAnsi" w:hAnsiTheme="majorHAnsi" w:cs="Times New Roman"/>
        </w:rPr>
        <w:t xml:space="preserve"> far more daunting than running the actual Symplegades. Theocritus’ Argonauts --in striking contrast to their Apollonian counterparts (AR 2.549-606) -- traversed those with ease (</w:t>
      </w:r>
      <w:r w:rsidRPr="007027F2">
        <w:rPr>
          <w:rFonts w:asciiTheme="majorHAnsi" w:hAnsiTheme="majorHAnsi" w:cs="New Athena Unicode"/>
        </w:rPr>
        <w:t>ἅτις κυανεᾶν οὐχ ἅψατο συνδρομάδων ναῦς [</w:t>
      </w:r>
      <w:r w:rsidRPr="007027F2">
        <w:rPr>
          <w:rFonts w:asciiTheme="majorHAnsi" w:hAnsiTheme="majorHAnsi" w:cs="Times New Roman"/>
        </w:rPr>
        <w:t xml:space="preserve">13.22]). By inscribing the Argonauts’ singular nautical achievement within his version Heracles’ loss of Hylas, Theocritus offers within his version of the </w:t>
      </w:r>
      <w:r w:rsidRPr="007027F2">
        <w:rPr>
          <w:rFonts w:asciiTheme="majorHAnsi" w:hAnsiTheme="majorHAnsi" w:cs="Times New Roman"/>
          <w:i/>
        </w:rPr>
        <w:t xml:space="preserve">Argonautica </w:t>
      </w:r>
      <w:r w:rsidRPr="007027F2">
        <w:rPr>
          <w:rFonts w:asciiTheme="majorHAnsi" w:hAnsiTheme="majorHAnsi" w:cs="Times New Roman"/>
        </w:rPr>
        <w:t>an amusing, but pointed, comment upon the real dangers confronting the “epic” hero.</w:t>
      </w:r>
    </w:p>
    <w:p w:rsidR="00716BF8" w:rsidRPr="007027F2" w:rsidRDefault="00716BF8">
      <w:pPr>
        <w:rPr>
          <w:rFonts w:asciiTheme="majorHAnsi" w:hAnsiTheme="majorHAnsi"/>
        </w:rPr>
      </w:pPr>
    </w:p>
    <w:p w:rsidR="00716BF8" w:rsidRPr="006E1CE9" w:rsidRDefault="00C05877">
      <w:pPr>
        <w:rPr>
          <w:rFonts w:asciiTheme="majorHAnsi" w:hAnsiTheme="majorHAnsi"/>
        </w:rPr>
      </w:pPr>
      <w:r w:rsidRPr="006E1CE9">
        <w:rPr>
          <w:rFonts w:asciiTheme="majorHAnsi" w:hAnsiTheme="majorHAnsi" w:cs="Times New Roman"/>
        </w:rPr>
        <w:t>Select Bibliography</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Amigues, S. 1996. “</w:t>
      </w:r>
      <w:r w:rsidRPr="007027F2">
        <w:rPr>
          <w:rFonts w:asciiTheme="majorHAnsi" w:hAnsiTheme="majorHAnsi" w:cs="Garamond"/>
        </w:rPr>
        <w:t xml:space="preserve">De la botanique à la poèsie dans les Idylles de Théocrite.” </w:t>
      </w:r>
      <w:r w:rsidRPr="007027F2">
        <w:rPr>
          <w:rFonts w:asciiTheme="majorHAnsi" w:hAnsiTheme="majorHAnsi" w:cs="Garamond"/>
          <w:i/>
        </w:rPr>
        <w:t>REG</w:t>
      </w:r>
      <w:r w:rsidRPr="007027F2">
        <w:rPr>
          <w:rFonts w:asciiTheme="majorHAnsi" w:hAnsiTheme="majorHAnsi" w:cs="Garamond"/>
        </w:rPr>
        <w:t xml:space="preserve"> 109: 467-88.</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Badian, E. 1987. “The Peace of Callias.” </w:t>
      </w:r>
      <w:r w:rsidRPr="007027F2">
        <w:rPr>
          <w:rFonts w:asciiTheme="majorHAnsi" w:hAnsiTheme="majorHAnsi" w:cs="Times New Roman"/>
          <w:i/>
        </w:rPr>
        <w:t>JHS</w:t>
      </w:r>
      <w:r w:rsidRPr="007027F2">
        <w:rPr>
          <w:rFonts w:asciiTheme="majorHAnsi" w:hAnsiTheme="majorHAnsi" w:cs="Times New Roman"/>
        </w:rPr>
        <w:t xml:space="preserve"> 107: 1-39.</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Dover, K. J. 1971. </w:t>
      </w:r>
      <w:r w:rsidRPr="007027F2">
        <w:rPr>
          <w:rFonts w:asciiTheme="majorHAnsi" w:hAnsiTheme="majorHAnsi" w:cs="Times New Roman"/>
          <w:i/>
        </w:rPr>
        <w:t>Theocritus: Select Poems.</w:t>
      </w:r>
      <w:r w:rsidRPr="007027F2">
        <w:rPr>
          <w:rFonts w:asciiTheme="majorHAnsi" w:hAnsiTheme="majorHAnsi" w:cs="Times New Roman"/>
        </w:rPr>
        <w:t xml:space="preserve"> Oak Park, IL.</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Effe, B. 1992. “Die Hylas-Geschichte bei Theokrit und Apollon</w:t>
      </w:r>
      <w:r w:rsidR="007027F2">
        <w:rPr>
          <w:rFonts w:asciiTheme="majorHAnsi" w:hAnsiTheme="majorHAnsi" w:cs="Times New Roman"/>
        </w:rPr>
        <w:t xml:space="preserve">ios Rhodios: Bemerkungen zur </w:t>
      </w:r>
      <w:r w:rsidR="007027F2">
        <w:rPr>
          <w:rFonts w:asciiTheme="majorHAnsi" w:hAnsiTheme="majorHAnsi" w:cs="Times New Roman"/>
        </w:rPr>
        <w:tab/>
      </w:r>
      <w:r w:rsidR="007027F2">
        <w:rPr>
          <w:rFonts w:asciiTheme="majorHAnsi" w:hAnsiTheme="majorHAnsi" w:cs="Times New Roman"/>
        </w:rPr>
        <w:tab/>
      </w:r>
      <w:r w:rsidRPr="007027F2">
        <w:rPr>
          <w:rFonts w:asciiTheme="majorHAnsi" w:hAnsiTheme="majorHAnsi" w:cs="Times New Roman"/>
        </w:rPr>
        <w:t xml:space="preserve">Prioritätsfrage.” </w:t>
      </w:r>
      <w:r w:rsidRPr="007027F2">
        <w:rPr>
          <w:rFonts w:asciiTheme="majorHAnsi" w:hAnsiTheme="majorHAnsi" w:cs="Times New Roman"/>
          <w:i/>
        </w:rPr>
        <w:t>Hermes</w:t>
      </w:r>
      <w:r w:rsidRPr="007027F2">
        <w:rPr>
          <w:rFonts w:asciiTheme="majorHAnsi" w:hAnsiTheme="majorHAnsi" w:cs="Times New Roman"/>
        </w:rPr>
        <w:t xml:space="preserve"> 120: 299-309.</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Gow, A. S. F. ed. 1952. </w:t>
      </w:r>
      <w:r w:rsidRPr="007027F2">
        <w:rPr>
          <w:rFonts w:asciiTheme="majorHAnsi" w:hAnsiTheme="majorHAnsi" w:cs="Times New Roman"/>
          <w:i/>
        </w:rPr>
        <w:t>Theocritus.</w:t>
      </w:r>
      <w:r w:rsidRPr="007027F2">
        <w:rPr>
          <w:rFonts w:asciiTheme="majorHAnsi" w:hAnsiTheme="majorHAnsi" w:cs="Times New Roman"/>
        </w:rPr>
        <w:t xml:space="preserve"> Cambridge: 2 vols.</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Hunter, R. L. 1999. </w:t>
      </w:r>
      <w:r w:rsidRPr="007027F2">
        <w:rPr>
          <w:rFonts w:asciiTheme="majorHAnsi" w:hAnsiTheme="majorHAnsi" w:cs="Times New Roman"/>
          <w:i/>
        </w:rPr>
        <w:t>Theocritus: A Selection.</w:t>
      </w:r>
      <w:r w:rsidRPr="007027F2">
        <w:rPr>
          <w:rFonts w:asciiTheme="majorHAnsi" w:hAnsiTheme="majorHAnsi" w:cs="Times New Roman"/>
        </w:rPr>
        <w:t xml:space="preserve"> Cambridge.</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Lembach, K. 1970. </w:t>
      </w:r>
      <w:r w:rsidRPr="007027F2">
        <w:rPr>
          <w:rFonts w:asciiTheme="majorHAnsi" w:hAnsiTheme="majorHAnsi" w:cs="Times New Roman"/>
          <w:i/>
        </w:rPr>
        <w:t>Die Pflanzen Bei Theokrit.</w:t>
      </w:r>
      <w:r w:rsidRPr="007027F2">
        <w:rPr>
          <w:rFonts w:asciiTheme="majorHAnsi" w:hAnsiTheme="majorHAnsi" w:cs="Times New Roman"/>
        </w:rPr>
        <w:t xml:space="preserve"> Heidelberg.</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Lindsell, A. 1937. “Was Theocritus a Botanist?” </w:t>
      </w:r>
      <w:r w:rsidRPr="007027F2">
        <w:rPr>
          <w:rFonts w:asciiTheme="majorHAnsi" w:hAnsiTheme="majorHAnsi" w:cs="Times New Roman"/>
          <w:i/>
        </w:rPr>
        <w:t>G &amp; R</w:t>
      </w:r>
      <w:r w:rsidRPr="007027F2">
        <w:rPr>
          <w:rFonts w:asciiTheme="majorHAnsi" w:hAnsiTheme="majorHAnsi" w:cs="Times New Roman"/>
        </w:rPr>
        <w:t xml:space="preserve"> 6: 78-93.</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Mastronarde, D. J. 1968. “Theocritus’ Idyll 13: Love and the Hero.” </w:t>
      </w:r>
      <w:r w:rsidRPr="007027F2">
        <w:rPr>
          <w:rFonts w:asciiTheme="majorHAnsi" w:hAnsiTheme="majorHAnsi" w:cs="Times New Roman"/>
          <w:i/>
        </w:rPr>
        <w:t>TAPA</w:t>
      </w:r>
      <w:r w:rsidRPr="007027F2">
        <w:rPr>
          <w:rFonts w:asciiTheme="majorHAnsi" w:hAnsiTheme="majorHAnsi" w:cs="Times New Roman"/>
        </w:rPr>
        <w:t xml:space="preserve"> 99: 273-90.</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Meister, K. 1982. </w:t>
      </w:r>
      <w:r w:rsidRPr="007027F2">
        <w:rPr>
          <w:rFonts w:asciiTheme="majorHAnsi" w:hAnsiTheme="majorHAnsi" w:cs="Times New Roman"/>
          <w:i/>
        </w:rPr>
        <w:t>Die Ungeschichtlichkeit des Kalliasfriedens und deren historische Folgen.</w:t>
      </w:r>
      <w:r w:rsidRPr="007027F2">
        <w:rPr>
          <w:rFonts w:asciiTheme="majorHAnsi" w:hAnsiTheme="majorHAnsi" w:cs="Times New Roman"/>
        </w:rPr>
        <w:t xml:space="preserve"> </w:t>
      </w:r>
      <w:r w:rsidR="007027F2">
        <w:rPr>
          <w:rFonts w:asciiTheme="majorHAnsi" w:hAnsiTheme="majorHAnsi" w:cs="Times New Roman"/>
        </w:rPr>
        <w:tab/>
      </w:r>
      <w:r w:rsidRPr="007027F2">
        <w:rPr>
          <w:rFonts w:asciiTheme="majorHAnsi" w:hAnsiTheme="majorHAnsi" w:cs="Times New Roman"/>
        </w:rPr>
        <w:t>Wiesbaden.</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Nishimura-Jensen, J. 2000. “Unstable Geographies: The Moving Landscape in Apollonius’ </w:t>
      </w:r>
      <w:r w:rsidR="007027F2">
        <w:rPr>
          <w:rFonts w:asciiTheme="majorHAnsi" w:hAnsiTheme="majorHAnsi" w:cs="Times New Roman"/>
        </w:rPr>
        <w:tab/>
      </w:r>
      <w:r w:rsidRPr="007027F2">
        <w:rPr>
          <w:rFonts w:asciiTheme="majorHAnsi" w:hAnsiTheme="majorHAnsi" w:cs="Times New Roman"/>
          <w:i/>
        </w:rPr>
        <w:t>Argonautica</w:t>
      </w:r>
      <w:r w:rsidR="007027F2">
        <w:rPr>
          <w:rFonts w:asciiTheme="majorHAnsi" w:hAnsiTheme="majorHAnsi" w:cs="Times New Roman"/>
        </w:rPr>
        <w:t xml:space="preserve"> </w:t>
      </w:r>
      <w:r w:rsidRPr="007027F2">
        <w:rPr>
          <w:rFonts w:asciiTheme="majorHAnsi" w:hAnsiTheme="majorHAnsi" w:cs="Times New Roman"/>
        </w:rPr>
        <w:t xml:space="preserve">and Callimachus’ Hymn to Delos.” </w:t>
      </w:r>
      <w:r w:rsidRPr="007027F2">
        <w:rPr>
          <w:rFonts w:asciiTheme="majorHAnsi" w:hAnsiTheme="majorHAnsi" w:cs="Times New Roman"/>
          <w:i/>
        </w:rPr>
        <w:t>TAPA</w:t>
      </w:r>
      <w:r w:rsidRPr="007027F2">
        <w:rPr>
          <w:rFonts w:asciiTheme="majorHAnsi" w:hAnsiTheme="majorHAnsi" w:cs="Times New Roman"/>
        </w:rPr>
        <w:t xml:space="preserve"> 130: 287-317.</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 xml:space="preserve">Samons II, L. J. 1998. “Kimon, Kallias and Peace With Persia.” </w:t>
      </w:r>
      <w:r w:rsidRPr="007027F2">
        <w:rPr>
          <w:rFonts w:asciiTheme="majorHAnsi" w:hAnsiTheme="majorHAnsi" w:cs="Times New Roman"/>
          <w:i/>
        </w:rPr>
        <w:t>Historia</w:t>
      </w:r>
      <w:r w:rsidRPr="007027F2">
        <w:rPr>
          <w:rFonts w:asciiTheme="majorHAnsi" w:hAnsiTheme="majorHAnsi" w:cs="Times New Roman"/>
        </w:rPr>
        <w:t xml:space="preserve"> 47: 129-40.</w:t>
      </w:r>
    </w:p>
    <w:p w:rsidR="00716BF8" w:rsidRPr="007027F2" w:rsidRDefault="00716BF8">
      <w:pPr>
        <w:rPr>
          <w:rFonts w:asciiTheme="majorHAnsi" w:hAnsiTheme="majorHAnsi"/>
        </w:rPr>
      </w:pPr>
    </w:p>
    <w:p w:rsidR="00716BF8" w:rsidRPr="007027F2" w:rsidRDefault="00C05877">
      <w:pPr>
        <w:rPr>
          <w:rFonts w:asciiTheme="majorHAnsi" w:hAnsiTheme="majorHAnsi"/>
        </w:rPr>
      </w:pPr>
      <w:r w:rsidRPr="007027F2">
        <w:rPr>
          <w:rFonts w:asciiTheme="majorHAnsi" w:hAnsiTheme="majorHAnsi" w:cs="Times New Roman"/>
        </w:rPr>
        <w:t>Schrader, Carlos. 2008. Plutarco (</w:t>
      </w:r>
      <w:r w:rsidRPr="007027F2">
        <w:rPr>
          <w:rFonts w:asciiTheme="majorHAnsi" w:hAnsiTheme="majorHAnsi" w:cs="Times New Roman"/>
          <w:i/>
        </w:rPr>
        <w:t>Cim.</w:t>
      </w:r>
      <w:r w:rsidRPr="007027F2">
        <w:rPr>
          <w:rFonts w:asciiTheme="majorHAnsi" w:hAnsiTheme="majorHAnsi" w:cs="Times New Roman"/>
        </w:rPr>
        <w:t xml:space="preserve"> 13, 4) y las islas Quelidonias. In </w:t>
      </w:r>
      <w:r w:rsidRPr="007027F2">
        <w:rPr>
          <w:rFonts w:asciiTheme="majorHAnsi" w:hAnsiTheme="majorHAnsi" w:cs="Times New Roman"/>
          <w:i/>
        </w:rPr>
        <w:t xml:space="preserve">The Unity of Plutarch’s </w:t>
      </w:r>
      <w:r w:rsidR="007027F2">
        <w:rPr>
          <w:rFonts w:asciiTheme="majorHAnsi" w:hAnsiTheme="majorHAnsi" w:cs="Times New Roman"/>
          <w:i/>
        </w:rPr>
        <w:tab/>
      </w:r>
      <w:r w:rsidRPr="007027F2">
        <w:rPr>
          <w:rFonts w:asciiTheme="majorHAnsi" w:hAnsiTheme="majorHAnsi" w:cs="Times New Roman"/>
          <w:i/>
        </w:rPr>
        <w:t xml:space="preserve">Work, </w:t>
      </w:r>
      <w:r w:rsidR="007027F2">
        <w:rPr>
          <w:rFonts w:asciiTheme="majorHAnsi" w:hAnsiTheme="majorHAnsi" w:cs="Times New Roman"/>
        </w:rPr>
        <w:t xml:space="preserve">ed. </w:t>
      </w:r>
      <w:r w:rsidRPr="007027F2">
        <w:rPr>
          <w:rFonts w:asciiTheme="majorHAnsi" w:hAnsiTheme="majorHAnsi" w:cs="Times New Roman"/>
        </w:rPr>
        <w:t>Anastasios G. Nikolaidis, 805-814. New York: Walter de Gruyter.</w:t>
      </w:r>
    </w:p>
    <w:p w:rsidR="00716BF8" w:rsidRPr="007027F2" w:rsidRDefault="00716BF8">
      <w:pPr>
        <w:ind w:left="540"/>
        <w:rPr>
          <w:rFonts w:asciiTheme="majorHAnsi" w:hAnsiTheme="majorHAnsi"/>
        </w:rPr>
      </w:pPr>
    </w:p>
    <w:p w:rsidR="00716BF8" w:rsidRPr="007027F2" w:rsidRDefault="00716BF8">
      <w:pPr>
        <w:rPr>
          <w:rFonts w:asciiTheme="majorHAnsi" w:hAnsiTheme="majorHAnsi"/>
        </w:rPr>
      </w:pPr>
    </w:p>
    <w:sectPr w:rsidR="00716BF8" w:rsidRPr="007027F2" w:rsidSect="00ED6C3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New Athena Unicode">
    <w:panose1 w:val="020005030000000200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FELayout/>
  </w:compat>
  <w:rsids>
    <w:rsidRoot w:val="00716BF8"/>
    <w:rsid w:val="005B7573"/>
    <w:rsid w:val="006E1CE9"/>
    <w:rsid w:val="007027F2"/>
    <w:rsid w:val="00716BF8"/>
    <w:rsid w:val="00903579"/>
    <w:rsid w:val="00B650BF"/>
    <w:rsid w:val="00C05877"/>
    <w:rsid w:val="00ED6C3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0B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88E29390-5490-1444-A3A7-40BF37822E0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706</Words>
  <Characters>3532</Characters>
  <Application>Microsoft Macintosh Word</Application>
  <DocSecurity>0</DocSecurity>
  <Lines>54</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6</cp:revision>
  <dcterms:created xsi:type="dcterms:W3CDTF">2010-09-13T13:24:00Z</dcterms:created>
  <dcterms:modified xsi:type="dcterms:W3CDTF">2010-09-28T22:21:00Z</dcterms:modified>
  <cp:category/>
</cp:coreProperties>
</file>