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73" w:rsidRPr="00DF2057" w:rsidRDefault="00DF2057" w:rsidP="00DA79BA">
      <w:pPr>
        <w:jc w:val="center"/>
      </w:pPr>
      <w:r>
        <w:t>E</w:t>
      </w:r>
      <w:r w:rsidR="00DA79BA" w:rsidRPr="00DF2057">
        <w:t>phebes as</w:t>
      </w:r>
      <w:r w:rsidR="00CB6082" w:rsidRPr="00DF2057">
        <w:t xml:space="preserve"> All-Round Warriors</w:t>
      </w:r>
      <w:r w:rsidR="002E3971" w:rsidRPr="00DF2057">
        <w:t>?</w:t>
      </w:r>
    </w:p>
    <w:p w:rsidR="00695ACD" w:rsidRPr="00200549" w:rsidRDefault="00695ACD" w:rsidP="00DA79BA">
      <w:pPr>
        <w:jc w:val="both"/>
      </w:pPr>
    </w:p>
    <w:p w:rsidR="00C06ED7" w:rsidRPr="00200549" w:rsidRDefault="00F27760" w:rsidP="00BF0A70">
      <w:pPr>
        <w:ind w:firstLine="720"/>
        <w:jc w:val="both"/>
      </w:pPr>
      <w:r w:rsidRPr="00200549">
        <w:t xml:space="preserve">One remarkable feature of the ephebeia, </w:t>
      </w:r>
      <w:r w:rsidR="00695ACD" w:rsidRPr="00200549">
        <w:t xml:space="preserve">a two-year long state-funded program of compulsory military service for eighteen and nineteen year old citizens </w:t>
      </w:r>
      <w:r w:rsidR="002B1D85" w:rsidRPr="00200549">
        <w:t>of Athen</w:t>
      </w:r>
      <w:r w:rsidR="00695ACD" w:rsidRPr="00200549">
        <w:t xml:space="preserve">s, was its institutionalized system of peacetime military training, consisting of gymnastic exercises, hoplite weaponry and unit drill, and non-hoplite arms ([Arist.] </w:t>
      </w:r>
      <w:r w:rsidR="00695ACD" w:rsidRPr="00200549">
        <w:rPr>
          <w:i/>
        </w:rPr>
        <w:t>Ath.Pol.</w:t>
      </w:r>
      <w:r w:rsidR="00695ACD" w:rsidRPr="00200549">
        <w:t xml:space="preserve"> 42.3-4). </w:t>
      </w:r>
      <w:r w:rsidR="00DA79BA" w:rsidRPr="00200549">
        <w:t xml:space="preserve">Previously the Athenians, on account of their amateur ethos, had regarded training for war as a private affair or as an unnecessary distraction from earning a living (Xen. </w:t>
      </w:r>
      <w:r w:rsidR="00DA79BA" w:rsidRPr="00200549">
        <w:rPr>
          <w:i/>
        </w:rPr>
        <w:t>Mem</w:t>
      </w:r>
      <w:r w:rsidR="00DA79BA" w:rsidRPr="00200549">
        <w:t xml:space="preserve">. 3.12.5; Plat. </w:t>
      </w:r>
      <w:r w:rsidR="00DA79BA" w:rsidRPr="00200549">
        <w:rPr>
          <w:i/>
        </w:rPr>
        <w:t>Leg</w:t>
      </w:r>
      <w:r w:rsidR="00DA79BA" w:rsidRPr="00200549">
        <w:t xml:space="preserve">. 831C-832A). </w:t>
      </w:r>
      <w:r w:rsidR="005440EB" w:rsidRPr="00200549">
        <w:t>T</w:t>
      </w:r>
      <w:r w:rsidR="00DA79BA" w:rsidRPr="00200549">
        <w:t xml:space="preserve">his paper </w:t>
      </w:r>
      <w:r w:rsidR="00782B5F" w:rsidRPr="00200549">
        <w:t>examine</w:t>
      </w:r>
      <w:r w:rsidR="005440EB" w:rsidRPr="00200549">
        <w:t>s</w:t>
      </w:r>
      <w:r w:rsidR="00782B5F" w:rsidRPr="00200549">
        <w:t xml:space="preserve"> </w:t>
      </w:r>
      <w:r w:rsidR="007E5927" w:rsidRPr="00200549">
        <w:t xml:space="preserve">why the </w:t>
      </w:r>
      <w:r w:rsidR="007E5927" w:rsidRPr="00200549">
        <w:rPr>
          <w:i/>
        </w:rPr>
        <w:t>demos</w:t>
      </w:r>
      <w:r w:rsidR="007E5927" w:rsidRPr="00200549">
        <w:t xml:space="preserve">, despite </w:t>
      </w:r>
      <w:r w:rsidR="00C06ED7" w:rsidRPr="00200549">
        <w:t>the disdain shown by their ancestors for the lightly armed infantryman’s cowardly tactics</w:t>
      </w:r>
      <w:r w:rsidR="00782B5F" w:rsidRPr="00200549">
        <w:t xml:space="preserve"> (e.g. </w:t>
      </w:r>
      <w:r w:rsidR="00762993" w:rsidRPr="00200549">
        <w:t xml:space="preserve">Eur. </w:t>
      </w:r>
      <w:r w:rsidR="00762993" w:rsidRPr="00200549">
        <w:rPr>
          <w:i/>
        </w:rPr>
        <w:t>Iph.Taur</w:t>
      </w:r>
      <w:r w:rsidR="00762993" w:rsidRPr="00200549">
        <w:t>. 195-203)</w:t>
      </w:r>
      <w:r w:rsidR="00693032" w:rsidRPr="00200549">
        <w:t xml:space="preserve">, hired specialized instructors to teach </w:t>
      </w:r>
      <w:r w:rsidR="000B03D4" w:rsidRPr="00200549">
        <w:t xml:space="preserve">the </w:t>
      </w:r>
      <w:r w:rsidR="00693032" w:rsidRPr="00200549">
        <w:t xml:space="preserve">ephebes how to fire the bow and </w:t>
      </w:r>
      <w:r w:rsidR="009C1402" w:rsidRPr="00200549">
        <w:t xml:space="preserve">cast </w:t>
      </w:r>
      <w:r w:rsidR="00693032" w:rsidRPr="00200549">
        <w:t xml:space="preserve">the javelin. </w:t>
      </w:r>
    </w:p>
    <w:p w:rsidR="001F4018" w:rsidRPr="00200549" w:rsidRDefault="00BF3658" w:rsidP="001F4018">
      <w:pPr>
        <w:ind w:firstLine="720"/>
        <w:jc w:val="both"/>
      </w:pPr>
      <w:r w:rsidRPr="00200549">
        <w:t xml:space="preserve">In particular I will argue against the prevailing view that </w:t>
      </w:r>
      <w:r w:rsidR="00B03CED" w:rsidRPr="00200549">
        <w:t>t</w:t>
      </w:r>
      <w:r w:rsidRPr="00200549">
        <w:t xml:space="preserve">he ephebes were instructed in peltast tactics – the very antithesis of hoplite warfare (Thuc. 4.126.5-6) – so that they would be equally adept at fighting as </w:t>
      </w:r>
      <w:r w:rsidR="00461A0C" w:rsidRPr="00200549">
        <w:t>hoplites</w:t>
      </w:r>
      <w:r w:rsidRPr="00200549">
        <w:t xml:space="preserve"> in the phalanx and as </w:t>
      </w:r>
      <w:r w:rsidR="00BF0A70" w:rsidRPr="00200549">
        <w:t>skirmishers</w:t>
      </w:r>
      <w:r w:rsidRPr="00200549">
        <w:t xml:space="preserve"> </w:t>
      </w:r>
      <w:r w:rsidR="008764B6" w:rsidRPr="00200549">
        <w:t>o</w:t>
      </w:r>
      <w:r w:rsidRPr="00200549">
        <w:t xml:space="preserve">n the rugged </w:t>
      </w:r>
      <w:r w:rsidR="008764B6" w:rsidRPr="00200549">
        <w:t xml:space="preserve">Athenian borderlands or on campaign outside of </w:t>
      </w:r>
      <w:r w:rsidRPr="00200549">
        <w:t>Attica</w:t>
      </w:r>
      <w:r w:rsidR="00461A0C" w:rsidRPr="00200549">
        <w:t xml:space="preserve"> (e.g. Ober 1985, 90-1; Rawlings 2000, 237-41). </w:t>
      </w:r>
      <w:r w:rsidR="002B1D85" w:rsidRPr="00200549">
        <w:t>If we consider</w:t>
      </w:r>
      <w:r w:rsidRPr="00200549">
        <w:t xml:space="preserve"> that </w:t>
      </w:r>
      <w:r w:rsidR="00BF0A70" w:rsidRPr="00200549">
        <w:t>the</w:t>
      </w:r>
      <w:r w:rsidR="00B03CED" w:rsidRPr="00200549">
        <w:t xml:space="preserve"> effectiveness of light troops </w:t>
      </w:r>
      <w:r w:rsidR="00BF0A70" w:rsidRPr="00200549">
        <w:t>on the battlefield depended upon their individual skill with missile weapons</w:t>
      </w:r>
      <w:r w:rsidR="00B03CED" w:rsidRPr="00200549">
        <w:t xml:space="preserve"> (Xen.</w:t>
      </w:r>
      <w:r w:rsidR="008764B6" w:rsidRPr="00200549">
        <w:t xml:space="preserve"> </w:t>
      </w:r>
      <w:r w:rsidR="00B03CED" w:rsidRPr="00200549">
        <w:rPr>
          <w:i/>
        </w:rPr>
        <w:t>Cyr</w:t>
      </w:r>
      <w:r w:rsidR="00B03CED" w:rsidRPr="00200549">
        <w:t xml:space="preserve">. 2.1.7), which could only be gained by constant practice from childhood (e.g. D.S. 15.85.4-5), then the ephebes’ proficiency after one year of training </w:t>
      </w:r>
      <w:r w:rsidR="006968AC" w:rsidRPr="00200549">
        <w:t xml:space="preserve">would </w:t>
      </w:r>
      <w:r w:rsidR="00B03CED" w:rsidRPr="00200549">
        <w:t>have been rudimentary in comparison to the mercenary peltasts Athens routinely recruited from Thrace and the less well-developed areas of Greece during the Classical period</w:t>
      </w:r>
      <w:r w:rsidR="00461A0C" w:rsidRPr="00200549">
        <w:t xml:space="preserve"> (Best 1969)</w:t>
      </w:r>
      <w:r w:rsidR="00B03CED" w:rsidRPr="00200549">
        <w:t>.</w:t>
      </w:r>
      <w:r w:rsidR="00461A0C" w:rsidRPr="00200549">
        <w:t xml:space="preserve"> </w:t>
      </w:r>
      <w:r w:rsidR="001F4018" w:rsidRPr="00200549">
        <w:t xml:space="preserve">Given the lack of training, it is doubtful whether ephebes could have fought effectively as peltasts or archers against Boeotian raiders – the ephebeia’s primary military function – and other threats to the </w:t>
      </w:r>
      <w:r w:rsidR="001F4018" w:rsidRPr="00200549">
        <w:rPr>
          <w:i/>
        </w:rPr>
        <w:t>chora</w:t>
      </w:r>
      <w:r w:rsidR="001F4018" w:rsidRPr="00200549">
        <w:t xml:space="preserve"> of Attica</w:t>
      </w:r>
      <w:r w:rsidR="002B1D85" w:rsidRPr="00200549">
        <w:t>.</w:t>
      </w:r>
    </w:p>
    <w:p w:rsidR="008764B6" w:rsidRPr="00200549" w:rsidRDefault="00626C56" w:rsidP="00A71EB9">
      <w:pPr>
        <w:ind w:firstLine="720"/>
        <w:jc w:val="both"/>
      </w:pPr>
      <w:r w:rsidRPr="00200549">
        <w:t xml:space="preserve">A more plausible explanation is that </w:t>
      </w:r>
      <w:r w:rsidR="002B001A" w:rsidRPr="00200549">
        <w:t xml:space="preserve">the </w:t>
      </w:r>
      <w:r w:rsidRPr="00200549">
        <w:t xml:space="preserve">ephebes were never intended to </w:t>
      </w:r>
      <w:r w:rsidR="002B001A" w:rsidRPr="00200549">
        <w:t>be skirmishers</w:t>
      </w:r>
      <w:r w:rsidR="00217667" w:rsidRPr="00200549">
        <w:t>, but were taught how to use missile weapons</w:t>
      </w:r>
      <w:r w:rsidR="00A95E2F" w:rsidRPr="00200549">
        <w:t xml:space="preserve"> </w:t>
      </w:r>
      <w:r w:rsidR="00217667" w:rsidRPr="00200549">
        <w:t xml:space="preserve">from </w:t>
      </w:r>
      <w:r w:rsidR="00A95E2F" w:rsidRPr="00200549">
        <w:t>a fortified position: i.e.</w:t>
      </w:r>
      <w:r w:rsidR="00217667" w:rsidRPr="00200549">
        <w:t xml:space="preserve"> the Athens-Piraeus enceinte and the garrison fortresses. </w:t>
      </w:r>
      <w:r w:rsidR="00A95E2F" w:rsidRPr="00200549">
        <w:t xml:space="preserve">The motivation to hire </w:t>
      </w:r>
      <w:r w:rsidR="00877227" w:rsidRPr="00200549">
        <w:rPr>
          <w:i/>
        </w:rPr>
        <w:t>toxotai</w:t>
      </w:r>
      <w:r w:rsidR="00877227" w:rsidRPr="00200549">
        <w:t xml:space="preserve">, </w:t>
      </w:r>
      <w:r w:rsidR="00877227" w:rsidRPr="00200549">
        <w:rPr>
          <w:i/>
        </w:rPr>
        <w:t>akontistai</w:t>
      </w:r>
      <w:r w:rsidR="00877227" w:rsidRPr="00200549">
        <w:t xml:space="preserve">, and </w:t>
      </w:r>
      <w:r w:rsidR="00877227" w:rsidRPr="00200549">
        <w:rPr>
          <w:i/>
        </w:rPr>
        <w:t>katapaltaphetai</w:t>
      </w:r>
      <w:r w:rsidR="00877227" w:rsidRPr="00200549">
        <w:t xml:space="preserve"> </w:t>
      </w:r>
      <w:r w:rsidR="00A71EB9" w:rsidRPr="00200549">
        <w:t>c</w:t>
      </w:r>
      <w:r w:rsidR="00877227" w:rsidRPr="00200549">
        <w:t xml:space="preserve">ould </w:t>
      </w:r>
      <w:r w:rsidR="008764B6" w:rsidRPr="00200549">
        <w:t xml:space="preserve">instead be attributed to the </w:t>
      </w:r>
      <w:r w:rsidR="00877227" w:rsidRPr="00200549">
        <w:t xml:space="preserve">demos’ </w:t>
      </w:r>
      <w:r w:rsidR="008764B6" w:rsidRPr="00200549">
        <w:t xml:space="preserve">fear of Macedonian invasion should conflict break out with Alexander the Great, a concern well founded because </w:t>
      </w:r>
      <w:r w:rsidR="00877227" w:rsidRPr="00200549">
        <w:t xml:space="preserve">the </w:t>
      </w:r>
      <w:r w:rsidR="008764B6" w:rsidRPr="00200549">
        <w:t>Athen</w:t>
      </w:r>
      <w:r w:rsidR="00877227" w:rsidRPr="00200549">
        <w:t>ian</w:t>
      </w:r>
      <w:r w:rsidR="008764B6" w:rsidRPr="00200549">
        <w:t xml:space="preserve">s had already been threatened with invasion on three separate occasions in 338/7, 336/5, and 335/4 B.C. (Aeschin. 3.131; D.S. 17.4.6-9; Arr. </w:t>
      </w:r>
      <w:r w:rsidR="008764B6" w:rsidRPr="00200549">
        <w:rPr>
          <w:i/>
        </w:rPr>
        <w:t>Anab</w:t>
      </w:r>
      <w:r w:rsidR="008764B6" w:rsidRPr="00200549">
        <w:t xml:space="preserve">. 1.10.2-6). </w:t>
      </w:r>
      <w:r w:rsidR="00A71EB9" w:rsidRPr="00200549">
        <w:t xml:space="preserve">If we accept this, the ephebes’ instruction in the javelin and the bow was one of </w:t>
      </w:r>
      <w:r w:rsidR="008764B6" w:rsidRPr="00200549">
        <w:t xml:space="preserve">the measures taken during the Lycurgan period to strengthen Athens’ land defenses against a possible invasion, alongside the refurbishment of the </w:t>
      </w:r>
      <w:r w:rsidR="008764B6" w:rsidRPr="00200549">
        <w:rPr>
          <w:i/>
        </w:rPr>
        <w:t>polis</w:t>
      </w:r>
      <w:r w:rsidR="008764B6" w:rsidRPr="00200549">
        <w:t xml:space="preserve">’ fortifications and the construction of an arsenal of 50,000 missiles on the Acropolis (Plut. </w:t>
      </w:r>
      <w:r w:rsidR="008764B6" w:rsidRPr="00200549">
        <w:rPr>
          <w:i/>
        </w:rPr>
        <w:t>Mor</w:t>
      </w:r>
      <w:r w:rsidR="008764B6" w:rsidRPr="00200549">
        <w:t>. 852C).</w:t>
      </w:r>
    </w:p>
    <w:p w:rsidR="00461A0C" w:rsidRPr="00200549" w:rsidRDefault="00461A0C" w:rsidP="005440EB">
      <w:pPr>
        <w:ind w:firstLine="720"/>
        <w:jc w:val="both"/>
      </w:pPr>
    </w:p>
    <w:p w:rsidR="0078048C" w:rsidRPr="00200549" w:rsidRDefault="008879EB" w:rsidP="0078048C">
      <w:pPr>
        <w:jc w:val="both"/>
        <w:rPr>
          <w:rFonts w:eastAsiaTheme="minorHAnsi"/>
        </w:rPr>
      </w:pPr>
      <w:r w:rsidRPr="00200549">
        <w:rPr>
          <w:rFonts w:eastAsiaTheme="minorHAnsi"/>
        </w:rPr>
        <w:t xml:space="preserve">Best, J.G.P. 1969. </w:t>
      </w:r>
      <w:r w:rsidRPr="00200549">
        <w:rPr>
          <w:rFonts w:eastAsiaTheme="minorHAnsi"/>
          <w:i/>
          <w:iCs/>
        </w:rPr>
        <w:t>Thracian Peltasts and their influence on Greek Warfare</w:t>
      </w:r>
      <w:r w:rsidRPr="00200549">
        <w:rPr>
          <w:rFonts w:eastAsiaTheme="minorHAnsi"/>
        </w:rPr>
        <w:t>. Groningen.</w:t>
      </w:r>
      <w:r w:rsidRPr="00200549">
        <w:br/>
      </w:r>
      <w:r w:rsidRPr="00200549">
        <w:rPr>
          <w:rFonts w:eastAsiaTheme="minorHAnsi"/>
        </w:rPr>
        <w:t xml:space="preserve">Ober, J. 1985. </w:t>
      </w:r>
      <w:r w:rsidRPr="00200549">
        <w:rPr>
          <w:rFonts w:eastAsiaTheme="minorHAnsi"/>
          <w:i/>
          <w:iCs/>
        </w:rPr>
        <w:t>Fortress Attica. Defense of the Athenian Land Frontier 404-322 B.C.</w:t>
      </w:r>
      <w:r w:rsidRPr="00200549">
        <w:rPr>
          <w:rFonts w:eastAsiaTheme="minorHAnsi"/>
        </w:rPr>
        <w:t xml:space="preserve"> </w:t>
      </w:r>
      <w:r w:rsidRPr="00200549">
        <w:rPr>
          <w:rFonts w:eastAsiaTheme="minorHAnsi"/>
        </w:rPr>
        <w:br/>
      </w:r>
      <w:r w:rsidRPr="00200549">
        <w:rPr>
          <w:rFonts w:eastAsiaTheme="minorHAnsi"/>
        </w:rPr>
        <w:tab/>
        <w:t>Leiden.</w:t>
      </w:r>
      <w:r w:rsidRPr="00200549">
        <w:rPr>
          <w:rFonts w:eastAsiaTheme="minorHAnsi"/>
        </w:rPr>
        <w:br/>
        <w:t>Rawlings L. 2000. “Alternative Agonies: Hoplite martial and combat experiences beyond</w:t>
      </w:r>
      <w:r w:rsidR="0078048C" w:rsidRPr="00200549">
        <w:rPr>
          <w:rFonts w:eastAsiaTheme="minorHAnsi"/>
        </w:rPr>
        <w:tab/>
      </w:r>
      <w:r w:rsidRPr="00200549">
        <w:rPr>
          <w:rFonts w:eastAsiaTheme="minorHAnsi"/>
        </w:rPr>
        <w:t xml:space="preserve">the Phalanx.” In H.van Wees ed., </w:t>
      </w:r>
      <w:r w:rsidRPr="00200549">
        <w:rPr>
          <w:rFonts w:eastAsiaTheme="minorHAnsi"/>
          <w:i/>
          <w:iCs/>
        </w:rPr>
        <w:t>War and Violence in Ancient Greece</w:t>
      </w:r>
      <w:r w:rsidR="0078048C" w:rsidRPr="00200549">
        <w:rPr>
          <w:rFonts w:eastAsiaTheme="minorHAnsi"/>
        </w:rPr>
        <w:t>, 53-77.</w:t>
      </w:r>
    </w:p>
    <w:p w:rsidR="008879EB" w:rsidRPr="00200549" w:rsidRDefault="008879EB" w:rsidP="0078048C">
      <w:pPr>
        <w:ind w:firstLine="720"/>
        <w:jc w:val="both"/>
      </w:pPr>
      <w:r w:rsidRPr="00200549">
        <w:rPr>
          <w:rFonts w:eastAsiaTheme="minorHAnsi"/>
        </w:rPr>
        <w:t>London.</w:t>
      </w:r>
    </w:p>
    <w:p w:rsidR="00B724AF" w:rsidRPr="00200549" w:rsidRDefault="00B724AF" w:rsidP="00E80D7E">
      <w:pPr>
        <w:jc w:val="both"/>
      </w:pPr>
    </w:p>
    <w:p w:rsidR="00C53F73" w:rsidRPr="00200549" w:rsidRDefault="00C53F73">
      <w:pPr>
        <w:rPr>
          <w:rFonts w:eastAsiaTheme="minorHAnsi"/>
        </w:rPr>
      </w:pPr>
    </w:p>
    <w:sectPr w:rsidR="00C53F73" w:rsidRPr="00200549" w:rsidSect="005100A5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C53F73"/>
    <w:rsid w:val="000401C3"/>
    <w:rsid w:val="000B03D4"/>
    <w:rsid w:val="000C0B16"/>
    <w:rsid w:val="001147B5"/>
    <w:rsid w:val="0017312C"/>
    <w:rsid w:val="001A70DE"/>
    <w:rsid w:val="001A7C64"/>
    <w:rsid w:val="001F4018"/>
    <w:rsid w:val="00200549"/>
    <w:rsid w:val="00217667"/>
    <w:rsid w:val="00235FAF"/>
    <w:rsid w:val="00240CB5"/>
    <w:rsid w:val="0024672A"/>
    <w:rsid w:val="00257E6D"/>
    <w:rsid w:val="00272169"/>
    <w:rsid w:val="00275D06"/>
    <w:rsid w:val="002A0FC5"/>
    <w:rsid w:val="002B001A"/>
    <w:rsid w:val="002B1D85"/>
    <w:rsid w:val="002E3971"/>
    <w:rsid w:val="002F55AF"/>
    <w:rsid w:val="00310810"/>
    <w:rsid w:val="003301B9"/>
    <w:rsid w:val="00373B0E"/>
    <w:rsid w:val="003F023F"/>
    <w:rsid w:val="0040657A"/>
    <w:rsid w:val="00422060"/>
    <w:rsid w:val="00434EC8"/>
    <w:rsid w:val="004355CF"/>
    <w:rsid w:val="0046076A"/>
    <w:rsid w:val="00461A0C"/>
    <w:rsid w:val="005100A5"/>
    <w:rsid w:val="00531267"/>
    <w:rsid w:val="005440EB"/>
    <w:rsid w:val="005A7CEE"/>
    <w:rsid w:val="005F237D"/>
    <w:rsid w:val="005F7337"/>
    <w:rsid w:val="00626C56"/>
    <w:rsid w:val="0066363F"/>
    <w:rsid w:val="006670D8"/>
    <w:rsid w:val="00682E68"/>
    <w:rsid w:val="00693032"/>
    <w:rsid w:val="00695ACD"/>
    <w:rsid w:val="006968AC"/>
    <w:rsid w:val="006C0039"/>
    <w:rsid w:val="006C467C"/>
    <w:rsid w:val="006C7AB4"/>
    <w:rsid w:val="0073677E"/>
    <w:rsid w:val="00745DAB"/>
    <w:rsid w:val="00762993"/>
    <w:rsid w:val="0078048C"/>
    <w:rsid w:val="00782B5F"/>
    <w:rsid w:val="007B5F4B"/>
    <w:rsid w:val="007D1A2A"/>
    <w:rsid w:val="007E5927"/>
    <w:rsid w:val="00815C0D"/>
    <w:rsid w:val="00864091"/>
    <w:rsid w:val="008764B6"/>
    <w:rsid w:val="00877227"/>
    <w:rsid w:val="008879EB"/>
    <w:rsid w:val="008C0235"/>
    <w:rsid w:val="008E1C7B"/>
    <w:rsid w:val="0091757A"/>
    <w:rsid w:val="0098160E"/>
    <w:rsid w:val="009C1402"/>
    <w:rsid w:val="009D1B7C"/>
    <w:rsid w:val="00A01774"/>
    <w:rsid w:val="00A269AB"/>
    <w:rsid w:val="00A37BBD"/>
    <w:rsid w:val="00A44598"/>
    <w:rsid w:val="00A538D0"/>
    <w:rsid w:val="00A71EB9"/>
    <w:rsid w:val="00A8062D"/>
    <w:rsid w:val="00A95E2F"/>
    <w:rsid w:val="00AB067D"/>
    <w:rsid w:val="00AD1ED0"/>
    <w:rsid w:val="00B03CED"/>
    <w:rsid w:val="00B215C3"/>
    <w:rsid w:val="00B517CE"/>
    <w:rsid w:val="00B724AF"/>
    <w:rsid w:val="00B76805"/>
    <w:rsid w:val="00B82F5D"/>
    <w:rsid w:val="00B86571"/>
    <w:rsid w:val="00BB6300"/>
    <w:rsid w:val="00BD2EDA"/>
    <w:rsid w:val="00BE1EF7"/>
    <w:rsid w:val="00BE56D7"/>
    <w:rsid w:val="00BF0A70"/>
    <w:rsid w:val="00BF3658"/>
    <w:rsid w:val="00BF570C"/>
    <w:rsid w:val="00C06ED7"/>
    <w:rsid w:val="00C111D3"/>
    <w:rsid w:val="00C1682C"/>
    <w:rsid w:val="00C30710"/>
    <w:rsid w:val="00C40635"/>
    <w:rsid w:val="00C53F73"/>
    <w:rsid w:val="00C658A5"/>
    <w:rsid w:val="00C86FCC"/>
    <w:rsid w:val="00CB6082"/>
    <w:rsid w:val="00CC3440"/>
    <w:rsid w:val="00D105D0"/>
    <w:rsid w:val="00D44E89"/>
    <w:rsid w:val="00D5547B"/>
    <w:rsid w:val="00D71ECA"/>
    <w:rsid w:val="00D75B1A"/>
    <w:rsid w:val="00D9241E"/>
    <w:rsid w:val="00DA79BA"/>
    <w:rsid w:val="00DE37C6"/>
    <w:rsid w:val="00DF2057"/>
    <w:rsid w:val="00E6363F"/>
    <w:rsid w:val="00E6463B"/>
    <w:rsid w:val="00E733A4"/>
    <w:rsid w:val="00E7723C"/>
    <w:rsid w:val="00E80D7E"/>
    <w:rsid w:val="00EE1A35"/>
    <w:rsid w:val="00F27760"/>
    <w:rsid w:val="00F35E3E"/>
    <w:rsid w:val="00F41A66"/>
    <w:rsid w:val="00FA7C80"/>
    <w:rsid w:val="00FE0138"/>
  </w:rsids>
  <m:mathPr>
    <m:mathFont m:val="SymbolGreekMetU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7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semiHidden/>
    <w:rsid w:val="00C53F73"/>
  </w:style>
  <w:style w:type="character" w:customStyle="1" w:styleId="FootnoteTextChar">
    <w:name w:val="Footnote Text Char"/>
    <w:basedOn w:val="DefaultParagraphFont"/>
    <w:link w:val="FootnoteText"/>
    <w:semiHidden/>
    <w:rsid w:val="00C53F7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semiHidden/>
    <w:rsid w:val="00C53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3804-E6C8-4F4F-99DD-DF41E847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466</Words>
  <Characters>2661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35</cp:revision>
  <cp:lastPrinted>2009-11-12T15:47:00Z</cp:lastPrinted>
  <dcterms:created xsi:type="dcterms:W3CDTF">2010-09-23T23:38:00Z</dcterms:created>
  <dcterms:modified xsi:type="dcterms:W3CDTF">2010-09-28T23:07:00Z</dcterms:modified>
  <cp:category/>
</cp:coreProperties>
</file>