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11D" w:rsidRDefault="00DC295A" w:rsidP="00DC295A">
      <w:pPr>
        <w:spacing w:after="0" w:line="240" w:lineRule="auto"/>
        <w:rPr>
          <w:rFonts w:ascii="Times New Roman" w:hAnsi="Times New Roman"/>
          <w:sz w:val="24"/>
          <w:szCs w:val="24"/>
        </w:rPr>
      </w:pPr>
      <w:r>
        <w:rPr>
          <w:rFonts w:ascii="Times New Roman" w:hAnsi="Times New Roman"/>
          <w:sz w:val="24"/>
          <w:szCs w:val="24"/>
        </w:rPr>
        <w:t>E</w:t>
      </w:r>
      <w:r w:rsidR="00866752" w:rsidRPr="0066311D">
        <w:rPr>
          <w:rFonts w:ascii="Times New Roman" w:hAnsi="Times New Roman"/>
          <w:sz w:val="24"/>
          <w:szCs w:val="24"/>
        </w:rPr>
        <w:t xml:space="preserve">lagabalus and the Carnivalesque: </w:t>
      </w:r>
      <w:r w:rsidR="0066311D">
        <w:rPr>
          <w:rFonts w:ascii="Times New Roman" w:hAnsi="Times New Roman"/>
          <w:sz w:val="24"/>
          <w:szCs w:val="24"/>
        </w:rPr>
        <w:t xml:space="preserve"> </w:t>
      </w:r>
      <w:r w:rsidR="00866752" w:rsidRPr="0066311D">
        <w:rPr>
          <w:rFonts w:ascii="Times New Roman" w:hAnsi="Times New Roman"/>
          <w:sz w:val="24"/>
          <w:szCs w:val="24"/>
        </w:rPr>
        <w:t xml:space="preserve">Examining the </w:t>
      </w:r>
      <w:r w:rsidR="00866752" w:rsidRPr="0066311D">
        <w:rPr>
          <w:rFonts w:ascii="Times New Roman" w:hAnsi="Times New Roman"/>
          <w:i/>
          <w:sz w:val="24"/>
          <w:szCs w:val="24"/>
        </w:rPr>
        <w:t>Historia Augusta</w:t>
      </w:r>
      <w:r w:rsidR="00866752" w:rsidRPr="0066311D">
        <w:rPr>
          <w:rFonts w:ascii="Times New Roman" w:hAnsi="Times New Roman"/>
          <w:sz w:val="24"/>
          <w:szCs w:val="24"/>
        </w:rPr>
        <w:t xml:space="preserve"> through the Lens of Bakhtin</w:t>
      </w:r>
    </w:p>
    <w:p w:rsidR="0066311D" w:rsidRDefault="0066311D" w:rsidP="0066311D">
      <w:pPr>
        <w:spacing w:after="0" w:line="240" w:lineRule="auto"/>
        <w:jc w:val="center"/>
        <w:rPr>
          <w:rFonts w:ascii="Times New Roman" w:hAnsi="Times New Roman"/>
          <w:sz w:val="24"/>
          <w:szCs w:val="24"/>
        </w:rPr>
      </w:pPr>
    </w:p>
    <w:p w:rsidR="00866752" w:rsidRPr="0066311D" w:rsidRDefault="00866752" w:rsidP="0066311D">
      <w:pPr>
        <w:spacing w:after="0" w:line="240" w:lineRule="auto"/>
        <w:jc w:val="center"/>
        <w:rPr>
          <w:rFonts w:ascii="Times New Roman" w:hAnsi="Times New Roman"/>
          <w:sz w:val="24"/>
          <w:szCs w:val="24"/>
        </w:rPr>
      </w:pPr>
    </w:p>
    <w:p w:rsidR="00E31954" w:rsidRPr="00E31954" w:rsidRDefault="00E31954" w:rsidP="00E31954">
      <w:pPr>
        <w:spacing w:after="0" w:line="480" w:lineRule="auto"/>
        <w:rPr>
          <w:rFonts w:ascii="Times New Roman" w:hAnsi="Times New Roman"/>
          <w:sz w:val="24"/>
          <w:szCs w:val="24"/>
        </w:rPr>
      </w:pPr>
      <w:r w:rsidRPr="00E31954">
        <w:rPr>
          <w:rFonts w:ascii="Times New Roman" w:hAnsi="Times New Roman"/>
          <w:sz w:val="24"/>
          <w:szCs w:val="24"/>
        </w:rPr>
        <w:tab/>
        <w:t xml:space="preserve">The collection of imperial biographies preserved as the </w:t>
      </w:r>
      <w:r w:rsidRPr="00E31954">
        <w:rPr>
          <w:rFonts w:ascii="Times New Roman" w:hAnsi="Times New Roman"/>
          <w:i/>
          <w:sz w:val="24"/>
          <w:szCs w:val="24"/>
        </w:rPr>
        <w:t>Historia Augusta</w:t>
      </w:r>
      <w:r w:rsidRPr="00E31954">
        <w:rPr>
          <w:rFonts w:ascii="Times New Roman" w:hAnsi="Times New Roman"/>
          <w:sz w:val="24"/>
          <w:szCs w:val="24"/>
        </w:rPr>
        <w:t xml:space="preserve"> raises numerous questions for the scholar; however, a startling number focus on debates </w:t>
      </w:r>
      <w:r w:rsidRPr="00E31954">
        <w:rPr>
          <w:rFonts w:ascii="Times New Roman" w:hAnsi="Times New Roman"/>
          <w:i/>
          <w:sz w:val="24"/>
          <w:szCs w:val="24"/>
        </w:rPr>
        <w:t xml:space="preserve">surrounding </w:t>
      </w:r>
      <w:r w:rsidRPr="00E31954">
        <w:rPr>
          <w:rFonts w:ascii="Times New Roman" w:hAnsi="Times New Roman"/>
          <w:sz w:val="24"/>
          <w:szCs w:val="24"/>
        </w:rPr>
        <w:t xml:space="preserve">the work—its dating, its authorship, its manuscript tradition—to the neglect of the work itself.  Several interesting studies have been published on various aspects of the </w:t>
      </w:r>
      <w:r w:rsidRPr="00E31954">
        <w:rPr>
          <w:rFonts w:ascii="Times New Roman" w:hAnsi="Times New Roman"/>
          <w:i/>
          <w:sz w:val="24"/>
          <w:szCs w:val="24"/>
        </w:rPr>
        <w:t>HA</w:t>
      </w:r>
      <w:r w:rsidRPr="00E31954">
        <w:rPr>
          <w:rFonts w:ascii="Times New Roman" w:hAnsi="Times New Roman"/>
          <w:sz w:val="24"/>
          <w:szCs w:val="24"/>
        </w:rPr>
        <w:t xml:space="preserve">’s contents, but one element has been thus far ignored.  A motif of the exotic appears in several of the lives, none moreso than the </w:t>
      </w:r>
      <w:r w:rsidRPr="00E31954">
        <w:rPr>
          <w:rFonts w:ascii="Times New Roman" w:hAnsi="Times New Roman"/>
          <w:i/>
          <w:sz w:val="24"/>
          <w:szCs w:val="24"/>
        </w:rPr>
        <w:t>Life of Elagabalus</w:t>
      </w:r>
      <w:r w:rsidRPr="00E31954">
        <w:rPr>
          <w:rFonts w:ascii="Times New Roman" w:hAnsi="Times New Roman"/>
          <w:sz w:val="24"/>
          <w:szCs w:val="24"/>
        </w:rPr>
        <w:t xml:space="preserve"> in relation to the extravagant foods the emperor served and ate.  This passage interrupts the flow of the narrative with a lengthy, often redundant list of various seafood and delicacies.  Its peculiarity raises the reader’s interest; its recurrence demands the scholar’s attention.</w:t>
      </w:r>
    </w:p>
    <w:p w:rsidR="00E31954" w:rsidRPr="00E31954" w:rsidRDefault="00E31954" w:rsidP="00E31954">
      <w:pPr>
        <w:spacing w:after="0" w:line="480" w:lineRule="auto"/>
        <w:rPr>
          <w:rFonts w:ascii="Times New Roman" w:hAnsi="Times New Roman"/>
          <w:sz w:val="24"/>
          <w:szCs w:val="24"/>
        </w:rPr>
      </w:pPr>
      <w:r w:rsidRPr="00E31954">
        <w:rPr>
          <w:rFonts w:ascii="Times New Roman" w:hAnsi="Times New Roman"/>
          <w:sz w:val="24"/>
          <w:szCs w:val="24"/>
        </w:rPr>
        <w:tab/>
        <w:t xml:space="preserve">Several potential explanations for this passage present themselves.  Most obviously, the author of the </w:t>
      </w:r>
      <w:r w:rsidRPr="00E31954">
        <w:rPr>
          <w:rFonts w:ascii="Times New Roman" w:hAnsi="Times New Roman"/>
          <w:i/>
          <w:sz w:val="24"/>
          <w:szCs w:val="24"/>
        </w:rPr>
        <w:t>Historia Augusta</w:t>
      </w:r>
      <w:r w:rsidRPr="00E31954">
        <w:rPr>
          <w:rFonts w:ascii="Times New Roman" w:hAnsi="Times New Roman"/>
          <w:sz w:val="24"/>
          <w:szCs w:val="24"/>
        </w:rPr>
        <w:t xml:space="preserve"> follows a Suetonian model of imperial biography, which includes such elaboration, but never to this extent.  The book, roughly contemporary with Ammianus Marcellinus (to trust Syme’s dating) may react to the earlier historian’s fondness of Julian (who is said to have lived as though under sumptuary laws) casting the “bad” emperors as anti-Julians.  Given the ambiguity of the text, few answers can be reached.</w:t>
      </w:r>
    </w:p>
    <w:p w:rsidR="00866752" w:rsidRDefault="00E31954" w:rsidP="00E31954">
      <w:pPr>
        <w:spacing w:after="0" w:line="480" w:lineRule="auto"/>
        <w:rPr>
          <w:rFonts w:ascii="Times New Roman" w:hAnsi="Times New Roman"/>
          <w:sz w:val="24"/>
          <w:szCs w:val="24"/>
        </w:rPr>
      </w:pPr>
      <w:r w:rsidRPr="00E31954">
        <w:rPr>
          <w:rFonts w:ascii="Times New Roman" w:hAnsi="Times New Roman"/>
          <w:sz w:val="24"/>
          <w:szCs w:val="24"/>
        </w:rPr>
        <w:tab/>
        <w:t xml:space="preserve">Bakhtin’s theory of the carnivalesque provides the most intriguing tools with which to analyze this passage.  He states that depictions of the grotesque reflect society constantly rejuvenating itself, a tendency he finds in medieval festivals and the work of Rabelais.  Although the </w:t>
      </w:r>
      <w:r w:rsidRPr="00E31954">
        <w:rPr>
          <w:rFonts w:ascii="Times New Roman" w:hAnsi="Times New Roman"/>
          <w:i/>
          <w:sz w:val="24"/>
          <w:szCs w:val="24"/>
        </w:rPr>
        <w:t xml:space="preserve">HA </w:t>
      </w:r>
      <w:r w:rsidRPr="00E31954">
        <w:rPr>
          <w:rFonts w:ascii="Times New Roman" w:hAnsi="Times New Roman"/>
          <w:sz w:val="24"/>
          <w:szCs w:val="24"/>
        </w:rPr>
        <w:t xml:space="preserve">does not fit the theory exactly, given the grotesquery of the passage and Syme’s interpretation of the work as a sort of historical novel, examining the </w:t>
      </w:r>
      <w:r w:rsidRPr="00E31954">
        <w:rPr>
          <w:rFonts w:ascii="Times New Roman" w:hAnsi="Times New Roman"/>
          <w:i/>
          <w:sz w:val="24"/>
          <w:szCs w:val="24"/>
        </w:rPr>
        <w:t>Life of Elagabalus</w:t>
      </w:r>
      <w:r w:rsidRPr="00E31954">
        <w:rPr>
          <w:rFonts w:ascii="Times New Roman" w:hAnsi="Times New Roman"/>
          <w:sz w:val="24"/>
          <w:szCs w:val="24"/>
        </w:rPr>
        <w:t xml:space="preserve"> through the lens of Bakhtin may shed light on the meaning of the passage, the life, and possibly the entire work.</w:t>
      </w:r>
    </w:p>
    <w:p w:rsidR="00E31954" w:rsidRPr="0066311D" w:rsidRDefault="00E31954" w:rsidP="00E31954">
      <w:pPr>
        <w:spacing w:after="0" w:line="480" w:lineRule="auto"/>
        <w:jc w:val="center"/>
        <w:rPr>
          <w:rFonts w:ascii="Times New Roman" w:hAnsi="Times New Roman"/>
          <w:sz w:val="24"/>
          <w:szCs w:val="24"/>
        </w:rPr>
      </w:pPr>
      <w:r w:rsidRPr="0066311D">
        <w:rPr>
          <w:rFonts w:ascii="Times New Roman" w:hAnsi="Times New Roman"/>
          <w:sz w:val="24"/>
          <w:szCs w:val="24"/>
        </w:rPr>
        <w:t>Select Bibliography</w:t>
      </w:r>
    </w:p>
    <w:p w:rsidR="006B2273" w:rsidRPr="00E31954" w:rsidRDefault="006B2273"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 xml:space="preserve">Bakhtin, M. 1968. </w:t>
      </w:r>
      <w:r w:rsidRPr="00E31954">
        <w:rPr>
          <w:rFonts w:ascii="Times New Roman" w:hAnsi="Times New Roman"/>
          <w:i/>
          <w:iCs/>
          <w:sz w:val="24"/>
          <w:szCs w:val="24"/>
        </w:rPr>
        <w:t>Rabelais and His World</w:t>
      </w:r>
      <w:r w:rsidRPr="00E31954">
        <w:rPr>
          <w:rFonts w:ascii="Times New Roman" w:hAnsi="Times New Roman"/>
          <w:sz w:val="24"/>
          <w:szCs w:val="24"/>
        </w:rPr>
        <w:t>. Trans. Helene Iswolsky.  Cambridge: M. I. T. Press.</w:t>
      </w:r>
    </w:p>
    <w:p w:rsidR="004C59DE" w:rsidRPr="00E31954" w:rsidRDefault="004C59DE"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Dessau, H.  “</w:t>
      </w:r>
      <w:r w:rsidRPr="00E31954">
        <w:rPr>
          <w:rFonts w:ascii="Times New Roman" w:hAnsi="Times New Roman"/>
          <w:iCs/>
          <w:sz w:val="24"/>
          <w:szCs w:val="24"/>
        </w:rPr>
        <w:t xml:space="preserve">Über Zeit und Persönlichkeït der Scriptores historiae Augustae.” </w:t>
      </w:r>
      <w:r w:rsidRPr="00E31954">
        <w:rPr>
          <w:rFonts w:ascii="Times New Roman" w:hAnsi="Times New Roman"/>
          <w:i/>
          <w:iCs/>
          <w:sz w:val="24"/>
          <w:szCs w:val="24"/>
        </w:rPr>
        <w:t>Hermes</w:t>
      </w:r>
      <w:r w:rsidRPr="00E31954">
        <w:rPr>
          <w:rFonts w:ascii="Times New Roman" w:hAnsi="Times New Roman"/>
          <w:iCs/>
          <w:sz w:val="24"/>
          <w:szCs w:val="24"/>
        </w:rPr>
        <w:t xml:space="preserve"> 24: 337-92.  </w:t>
      </w:r>
    </w:p>
    <w:p w:rsidR="00866752" w:rsidRPr="00E31954" w:rsidRDefault="00866752"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 xml:space="preserve">Frye, N.  </w:t>
      </w:r>
      <w:r w:rsidRPr="00E31954">
        <w:rPr>
          <w:rFonts w:ascii="Times New Roman" w:hAnsi="Times New Roman"/>
          <w:i/>
          <w:sz w:val="24"/>
          <w:szCs w:val="24"/>
        </w:rPr>
        <w:t>Anatomy of Criticism</w:t>
      </w:r>
      <w:r w:rsidRPr="00E31954">
        <w:rPr>
          <w:rFonts w:ascii="Times New Roman" w:hAnsi="Times New Roman"/>
          <w:sz w:val="24"/>
          <w:szCs w:val="24"/>
        </w:rPr>
        <w:t>.</w:t>
      </w:r>
    </w:p>
    <w:p w:rsidR="006B2273" w:rsidRPr="00E31954" w:rsidRDefault="006B2273"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 xml:space="preserve">Magie, D. 1921. </w:t>
      </w:r>
      <w:r w:rsidRPr="00E31954">
        <w:rPr>
          <w:rFonts w:ascii="Times New Roman" w:hAnsi="Times New Roman"/>
          <w:i/>
          <w:iCs/>
          <w:sz w:val="24"/>
          <w:szCs w:val="24"/>
        </w:rPr>
        <w:t>Scriptores Historiae Augustae II</w:t>
      </w:r>
      <w:r w:rsidRPr="00E31954">
        <w:rPr>
          <w:rFonts w:ascii="Times New Roman" w:hAnsi="Times New Roman"/>
          <w:sz w:val="24"/>
          <w:szCs w:val="24"/>
        </w:rPr>
        <w:t>. Cambridge: Harvard University Press.</w:t>
      </w:r>
    </w:p>
    <w:p w:rsidR="00B41E79" w:rsidRPr="00E31954" w:rsidRDefault="00B41E79"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 xml:space="preserve">Rabelais, F. 1955.  </w:t>
      </w:r>
      <w:r w:rsidRPr="00E31954">
        <w:rPr>
          <w:rFonts w:ascii="Times New Roman" w:hAnsi="Times New Roman"/>
          <w:i/>
          <w:sz w:val="24"/>
          <w:szCs w:val="24"/>
        </w:rPr>
        <w:t>Gargantua and Pantagruel</w:t>
      </w:r>
      <w:r w:rsidRPr="00E31954">
        <w:rPr>
          <w:rFonts w:ascii="Times New Roman" w:hAnsi="Times New Roman"/>
          <w:sz w:val="24"/>
          <w:szCs w:val="24"/>
        </w:rPr>
        <w:t>.  Trans. J.M. Cohen.  Harmondsworth: Penguin Books.</w:t>
      </w:r>
    </w:p>
    <w:p w:rsidR="006B2273" w:rsidRPr="00E31954" w:rsidRDefault="006B2273"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 xml:space="preserve">Syme, R. 1968. </w:t>
      </w:r>
      <w:r w:rsidRPr="00E31954">
        <w:rPr>
          <w:rFonts w:ascii="Times New Roman" w:hAnsi="Times New Roman"/>
          <w:i/>
          <w:iCs/>
          <w:sz w:val="24"/>
          <w:szCs w:val="24"/>
        </w:rPr>
        <w:t>Ammianus and the Historia Augusta</w:t>
      </w:r>
      <w:r w:rsidRPr="00E31954">
        <w:rPr>
          <w:rFonts w:ascii="Times New Roman" w:hAnsi="Times New Roman"/>
          <w:sz w:val="24"/>
          <w:szCs w:val="24"/>
        </w:rPr>
        <w:t>. Oxford: Clarendon.</w:t>
      </w:r>
    </w:p>
    <w:p w:rsidR="006B2273" w:rsidRPr="00E31954" w:rsidRDefault="006B2273" w:rsidP="00E31954">
      <w:pPr>
        <w:spacing w:after="0" w:line="480" w:lineRule="auto"/>
        <w:ind w:left="720" w:hanging="720"/>
        <w:rPr>
          <w:rFonts w:ascii="Times New Roman" w:hAnsi="Times New Roman"/>
          <w:sz w:val="24"/>
          <w:szCs w:val="24"/>
        </w:rPr>
      </w:pPr>
      <w:r w:rsidRPr="00E31954">
        <w:rPr>
          <w:rFonts w:ascii="Times New Roman" w:hAnsi="Times New Roman"/>
          <w:sz w:val="24"/>
          <w:szCs w:val="24"/>
        </w:rPr>
        <w:t xml:space="preserve">Syme, R. 1983. </w:t>
      </w:r>
      <w:r w:rsidRPr="00E31954">
        <w:rPr>
          <w:rFonts w:ascii="Times New Roman" w:hAnsi="Times New Roman"/>
          <w:i/>
          <w:iCs/>
          <w:sz w:val="24"/>
          <w:szCs w:val="24"/>
        </w:rPr>
        <w:t>Historia Augusta Papers</w:t>
      </w:r>
      <w:r w:rsidRPr="00E31954">
        <w:rPr>
          <w:rFonts w:ascii="Times New Roman" w:hAnsi="Times New Roman"/>
          <w:sz w:val="24"/>
          <w:szCs w:val="24"/>
        </w:rPr>
        <w:t>. Oxford: Clarendon.</w:t>
      </w:r>
    </w:p>
    <w:p w:rsidR="00571053" w:rsidRPr="00E31954" w:rsidRDefault="00571053" w:rsidP="00E31954">
      <w:pPr>
        <w:spacing w:after="0"/>
        <w:rPr>
          <w:rFonts w:ascii="Times New Roman" w:hAnsi="Times New Roman"/>
          <w:sz w:val="24"/>
          <w:szCs w:val="24"/>
        </w:rPr>
      </w:pPr>
    </w:p>
    <w:sectPr w:rsidR="00571053" w:rsidRPr="00E31954" w:rsidSect="00E25C13">
      <w:footerReference w:type="default" r:id="rId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BD" w:rsidRDefault="00E31954">
    <w:pPr>
      <w:pStyle w:val="Footer"/>
    </w:pPr>
    <w: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compat/>
  <w:rsids>
    <w:rsidRoot w:val="007A3B3B"/>
    <w:rsid w:val="000B7ADD"/>
    <w:rsid w:val="000E0E5D"/>
    <w:rsid w:val="004C59DE"/>
    <w:rsid w:val="00571053"/>
    <w:rsid w:val="0066311D"/>
    <w:rsid w:val="006B2273"/>
    <w:rsid w:val="007312D1"/>
    <w:rsid w:val="007A3B3B"/>
    <w:rsid w:val="00866752"/>
    <w:rsid w:val="00B41E79"/>
    <w:rsid w:val="00DC295A"/>
    <w:rsid w:val="00E25C13"/>
    <w:rsid w:val="00E31954"/>
    <w:rsid w:val="00F46CF4"/>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73"/>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6B2273"/>
    <w:pPr>
      <w:tabs>
        <w:tab w:val="center" w:pos="4320"/>
        <w:tab w:val="right" w:pos="8640"/>
      </w:tabs>
    </w:pPr>
  </w:style>
  <w:style w:type="character" w:customStyle="1" w:styleId="HeaderChar">
    <w:name w:val="Header Char"/>
    <w:basedOn w:val="DefaultParagraphFont"/>
    <w:link w:val="Header"/>
    <w:rsid w:val="006B2273"/>
    <w:rPr>
      <w:rFonts w:ascii="Calibri" w:eastAsia="Calibri" w:hAnsi="Calibri" w:cs="Times New Roman"/>
    </w:rPr>
  </w:style>
  <w:style w:type="paragraph" w:styleId="Footer">
    <w:name w:val="footer"/>
    <w:basedOn w:val="Normal"/>
    <w:link w:val="FooterChar"/>
    <w:rsid w:val="006B2273"/>
    <w:pPr>
      <w:tabs>
        <w:tab w:val="center" w:pos="4320"/>
        <w:tab w:val="right" w:pos="8640"/>
      </w:tabs>
    </w:pPr>
  </w:style>
  <w:style w:type="character" w:customStyle="1" w:styleId="FooterChar">
    <w:name w:val="Footer Char"/>
    <w:basedOn w:val="DefaultParagraphFont"/>
    <w:link w:val="Footer"/>
    <w:rsid w:val="006B2273"/>
    <w:rPr>
      <w:rFonts w:ascii="Calibri" w:eastAsia="Calibri" w:hAnsi="Calibri" w:cs="Times New Roman"/>
    </w:rPr>
  </w:style>
  <w:style w:type="character" w:styleId="PageNumber">
    <w:name w:val="page number"/>
    <w:basedOn w:val="DefaultParagraphFont"/>
    <w:rsid w:val="006B227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footer" Target="foot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413</Words>
  <Characters>2024</Characters>
  <Application>Microsoft Macintosh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9</cp:revision>
  <dcterms:created xsi:type="dcterms:W3CDTF">2010-09-24T15:54:00Z</dcterms:created>
  <dcterms:modified xsi:type="dcterms:W3CDTF">2010-09-28T22:59:00Z</dcterms:modified>
  <cp:category/>
</cp:coreProperties>
</file>