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9E3CCC" w:rsidRPr="00B409A1" w:rsidRDefault="002F5930" w:rsidP="002F5930">
      <w:pPr>
        <w:jc w:val="center"/>
        <w:rPr>
          <w:rFonts w:ascii="Times New Roman" w:hAnsi="Times New Roman" w:cs="Times New Roman"/>
          <w:sz w:val="24"/>
          <w:szCs w:val="28"/>
        </w:rPr>
      </w:pPr>
      <w:r w:rsidRPr="00B409A1">
        <w:rPr>
          <w:rFonts w:ascii="Times New Roman" w:hAnsi="Times New Roman" w:cs="Times New Roman"/>
          <w:sz w:val="24"/>
          <w:szCs w:val="28"/>
        </w:rPr>
        <w:t>Trimalchio Magister: (Mis)educati</w:t>
      </w:r>
      <w:r w:rsidR="00B409A1">
        <w:rPr>
          <w:rFonts w:ascii="Times New Roman" w:hAnsi="Times New Roman" w:cs="Times New Roman"/>
          <w:sz w:val="24"/>
          <w:szCs w:val="28"/>
        </w:rPr>
        <w:t>on and Orienting Mythologies</w:t>
      </w:r>
      <w:r w:rsidRPr="00B409A1">
        <w:rPr>
          <w:rFonts w:ascii="Times New Roman" w:hAnsi="Times New Roman" w:cs="Times New Roman"/>
          <w:sz w:val="24"/>
          <w:szCs w:val="28"/>
        </w:rPr>
        <w:t xml:space="preserve"> in the </w:t>
      </w:r>
      <w:r w:rsidRPr="00B409A1">
        <w:rPr>
          <w:rFonts w:ascii="Times New Roman" w:hAnsi="Times New Roman" w:cs="Times New Roman"/>
          <w:i/>
          <w:sz w:val="24"/>
          <w:szCs w:val="28"/>
        </w:rPr>
        <w:t>Cena Trimalchionis</w:t>
      </w:r>
    </w:p>
    <w:p w:rsidR="009A3E65" w:rsidRPr="00B409A1" w:rsidRDefault="00D03793" w:rsidP="00D03793">
      <w:pPr>
        <w:rPr>
          <w:rFonts w:ascii="Times New Roman" w:hAnsi="Times New Roman"/>
          <w:sz w:val="24"/>
        </w:rPr>
      </w:pPr>
      <w:r w:rsidRPr="00B409A1">
        <w:rPr>
          <w:rFonts w:ascii="Times New Roman" w:hAnsi="Times New Roman"/>
          <w:sz w:val="24"/>
        </w:rPr>
        <w:tab/>
        <w:t xml:space="preserve">There </w:t>
      </w:r>
      <w:r w:rsidR="00A64576" w:rsidRPr="00B409A1">
        <w:rPr>
          <w:rFonts w:ascii="Times New Roman" w:hAnsi="Times New Roman"/>
          <w:sz w:val="24"/>
        </w:rPr>
        <w:t>are a number of scholars (Finley</w:t>
      </w:r>
      <w:r w:rsidRPr="00B409A1">
        <w:rPr>
          <w:rFonts w:ascii="Times New Roman" w:hAnsi="Times New Roman"/>
          <w:sz w:val="24"/>
        </w:rPr>
        <w:t>, Jones, Garnsey, among others) who have, quite fairly, read the man</w:t>
      </w:r>
      <w:r w:rsidR="00B72601" w:rsidRPr="00B409A1">
        <w:rPr>
          <w:rFonts w:ascii="Times New Roman" w:hAnsi="Times New Roman"/>
          <w:sz w:val="24"/>
        </w:rPr>
        <w:t xml:space="preserve">y superfluous </w:t>
      </w:r>
      <w:r w:rsidRPr="00B409A1">
        <w:rPr>
          <w:rFonts w:ascii="Times New Roman" w:hAnsi="Times New Roman"/>
          <w:sz w:val="24"/>
        </w:rPr>
        <w:t xml:space="preserve">extravagances </w:t>
      </w:r>
      <w:r w:rsidR="00B72601" w:rsidRPr="00B409A1">
        <w:rPr>
          <w:rFonts w:ascii="Times New Roman" w:hAnsi="Times New Roman"/>
          <w:sz w:val="24"/>
        </w:rPr>
        <w:t xml:space="preserve">and perverse performances in the </w:t>
      </w:r>
      <w:r w:rsidR="00B72601" w:rsidRPr="00B409A1">
        <w:rPr>
          <w:rFonts w:ascii="Times New Roman" w:hAnsi="Times New Roman"/>
          <w:i/>
          <w:sz w:val="24"/>
        </w:rPr>
        <w:t>Cena Trimalchionis</w:t>
      </w:r>
      <w:r w:rsidR="00B72601" w:rsidRPr="00B409A1">
        <w:rPr>
          <w:rFonts w:ascii="Times New Roman" w:hAnsi="Times New Roman"/>
          <w:sz w:val="24"/>
        </w:rPr>
        <w:t xml:space="preserve"> </w:t>
      </w:r>
      <w:r w:rsidR="00A64576" w:rsidRPr="00B409A1">
        <w:rPr>
          <w:rFonts w:ascii="Times New Roman" w:hAnsi="Times New Roman"/>
          <w:sz w:val="24"/>
        </w:rPr>
        <w:t>as at best a comic distortion (D’arms) and at worst a</w:t>
      </w:r>
      <w:r w:rsidR="00EA059C" w:rsidRPr="00B409A1">
        <w:rPr>
          <w:rFonts w:ascii="Times New Roman" w:hAnsi="Times New Roman"/>
          <w:sz w:val="24"/>
        </w:rPr>
        <w:t xml:space="preserve"> grotesque </w:t>
      </w:r>
      <w:r w:rsidR="00437686" w:rsidRPr="00B409A1">
        <w:rPr>
          <w:rFonts w:ascii="Times New Roman" w:hAnsi="Times New Roman"/>
          <w:sz w:val="24"/>
        </w:rPr>
        <w:t xml:space="preserve">aping </w:t>
      </w:r>
      <w:r w:rsidR="00A64576" w:rsidRPr="00B409A1">
        <w:rPr>
          <w:rFonts w:ascii="Times New Roman" w:hAnsi="Times New Roman"/>
          <w:sz w:val="24"/>
        </w:rPr>
        <w:t>(</w:t>
      </w:r>
      <w:r w:rsidR="00A30D97" w:rsidRPr="00B409A1">
        <w:rPr>
          <w:rFonts w:ascii="Times New Roman" w:hAnsi="Times New Roman"/>
          <w:sz w:val="24"/>
        </w:rPr>
        <w:t>Veyne) of the Roman senatorial class</w:t>
      </w:r>
      <w:r w:rsidR="00437686" w:rsidRPr="00B409A1">
        <w:rPr>
          <w:rFonts w:ascii="Times New Roman" w:hAnsi="Times New Roman"/>
          <w:sz w:val="24"/>
        </w:rPr>
        <w:t xml:space="preserve"> at symposia. The many manumitted slaves in attendance—and Trimalch</w:t>
      </w:r>
      <w:r w:rsidR="00A30D97" w:rsidRPr="00B409A1">
        <w:rPr>
          <w:rFonts w:ascii="Times New Roman" w:hAnsi="Times New Roman"/>
          <w:sz w:val="24"/>
        </w:rPr>
        <w:t>io in particular—</w:t>
      </w:r>
      <w:r w:rsidR="003C307A" w:rsidRPr="00B409A1">
        <w:rPr>
          <w:rFonts w:ascii="Times New Roman" w:hAnsi="Times New Roman"/>
          <w:sz w:val="24"/>
        </w:rPr>
        <w:t xml:space="preserve"> strive in vain at</w:t>
      </w:r>
      <w:r w:rsidR="00A30D97" w:rsidRPr="00B409A1">
        <w:rPr>
          <w:rFonts w:ascii="Times New Roman" w:hAnsi="Times New Roman"/>
          <w:sz w:val="24"/>
        </w:rPr>
        <w:t xml:space="preserve"> a pathetic attempt </w:t>
      </w:r>
      <w:r w:rsidR="003C307A" w:rsidRPr="00B409A1">
        <w:rPr>
          <w:rFonts w:ascii="Times New Roman" w:hAnsi="Times New Roman"/>
          <w:sz w:val="24"/>
        </w:rPr>
        <w:t>to achieve</w:t>
      </w:r>
      <w:r w:rsidR="00A30D97" w:rsidRPr="00B409A1">
        <w:rPr>
          <w:rFonts w:ascii="Times New Roman" w:hAnsi="Times New Roman"/>
          <w:sz w:val="24"/>
        </w:rPr>
        <w:t xml:space="preserve"> </w:t>
      </w:r>
      <w:r w:rsidR="00C63845" w:rsidRPr="00B409A1">
        <w:rPr>
          <w:rFonts w:ascii="Times New Roman" w:hAnsi="Times New Roman"/>
          <w:sz w:val="24"/>
        </w:rPr>
        <w:t>“</w:t>
      </w:r>
      <w:r w:rsidR="00A30D97" w:rsidRPr="00B409A1">
        <w:rPr>
          <w:rFonts w:ascii="Times New Roman" w:hAnsi="Times New Roman"/>
          <w:sz w:val="24"/>
        </w:rPr>
        <w:t>respectability</w:t>
      </w:r>
      <w:r w:rsidR="00C63845" w:rsidRPr="00B409A1">
        <w:rPr>
          <w:rFonts w:ascii="Times New Roman" w:hAnsi="Times New Roman"/>
          <w:sz w:val="24"/>
        </w:rPr>
        <w:t>” (D’arms, 1981)</w:t>
      </w:r>
      <w:r w:rsidR="00437686" w:rsidRPr="00B409A1">
        <w:rPr>
          <w:rFonts w:ascii="Times New Roman" w:hAnsi="Times New Roman"/>
          <w:sz w:val="24"/>
        </w:rPr>
        <w:t>. While a large portion of the</w:t>
      </w:r>
      <w:r w:rsidR="00760064" w:rsidRPr="00B409A1">
        <w:rPr>
          <w:rFonts w:ascii="Times New Roman" w:hAnsi="Times New Roman"/>
          <w:sz w:val="24"/>
        </w:rPr>
        <w:t xml:space="preserve"> comic charge that</w:t>
      </w:r>
      <w:r w:rsidR="00437686" w:rsidRPr="00B409A1">
        <w:rPr>
          <w:rFonts w:ascii="Times New Roman" w:hAnsi="Times New Roman"/>
          <w:sz w:val="24"/>
        </w:rPr>
        <w:t xml:space="preserve"> Petronius has engendered in the scene is driven by </w:t>
      </w:r>
      <w:r w:rsidR="00760064" w:rsidRPr="00B409A1">
        <w:rPr>
          <w:rFonts w:ascii="Times New Roman" w:hAnsi="Times New Roman"/>
          <w:sz w:val="24"/>
        </w:rPr>
        <w:t>Trimalchio’s over- or under-indulgence in the luxuries (</w:t>
      </w:r>
      <w:r w:rsidR="00760064" w:rsidRPr="00B409A1">
        <w:rPr>
          <w:rFonts w:ascii="Times New Roman" w:hAnsi="Times New Roman"/>
          <w:i/>
          <w:sz w:val="24"/>
        </w:rPr>
        <w:t>res elegentiae</w:t>
      </w:r>
      <w:r w:rsidR="00760064" w:rsidRPr="00B409A1">
        <w:rPr>
          <w:rFonts w:ascii="Times New Roman" w:hAnsi="Times New Roman"/>
          <w:sz w:val="24"/>
        </w:rPr>
        <w:t xml:space="preserve">) appropriate to such a meal, a closer consideration </w:t>
      </w:r>
      <w:r w:rsidR="00F02B3B" w:rsidRPr="00B409A1">
        <w:rPr>
          <w:rFonts w:ascii="Times New Roman" w:hAnsi="Times New Roman"/>
          <w:sz w:val="24"/>
        </w:rPr>
        <w:t>of the specific social and economic positions of Trimalchio and his fellow freedmen</w:t>
      </w:r>
      <w:r w:rsidR="00C63845" w:rsidRPr="00B409A1">
        <w:rPr>
          <w:rFonts w:ascii="Times New Roman" w:hAnsi="Times New Roman"/>
          <w:sz w:val="24"/>
        </w:rPr>
        <w:t xml:space="preserve"> suggests that there is more at stake than the ridicule of the </w:t>
      </w:r>
      <w:r w:rsidR="00C63845" w:rsidRPr="00B409A1">
        <w:rPr>
          <w:rFonts w:ascii="Times New Roman" w:hAnsi="Times New Roman"/>
          <w:i/>
          <w:sz w:val="24"/>
        </w:rPr>
        <w:t>nouveau riche</w:t>
      </w:r>
      <w:r w:rsidR="00A30D97" w:rsidRPr="00B409A1">
        <w:rPr>
          <w:rFonts w:ascii="Times New Roman" w:hAnsi="Times New Roman"/>
          <w:sz w:val="24"/>
        </w:rPr>
        <w:t>. Born into the lowest stratum of</w:t>
      </w:r>
      <w:r w:rsidR="000D4167" w:rsidRPr="00B409A1">
        <w:rPr>
          <w:rFonts w:ascii="Times New Roman" w:hAnsi="Times New Roman"/>
          <w:sz w:val="24"/>
        </w:rPr>
        <w:t xml:space="preserve"> Roman society and yet </w:t>
      </w:r>
      <w:r w:rsidR="00A30D97" w:rsidRPr="00B409A1">
        <w:rPr>
          <w:rFonts w:ascii="Times New Roman" w:hAnsi="Times New Roman"/>
          <w:sz w:val="24"/>
        </w:rPr>
        <w:t xml:space="preserve">having </w:t>
      </w:r>
      <w:r w:rsidR="000105BA" w:rsidRPr="00B409A1">
        <w:rPr>
          <w:rFonts w:ascii="Times New Roman" w:hAnsi="Times New Roman"/>
          <w:sz w:val="24"/>
        </w:rPr>
        <w:t>acquired such incredible</w:t>
      </w:r>
      <w:r w:rsidR="000D4167" w:rsidRPr="00B409A1">
        <w:rPr>
          <w:rFonts w:ascii="Times New Roman" w:hAnsi="Times New Roman"/>
          <w:sz w:val="24"/>
        </w:rPr>
        <w:t xml:space="preserve"> wealth, Trimalchio finds himself in something of a liminal social space. Since his low birth denies Trimalchio entrance into the upper echelon</w:t>
      </w:r>
      <w:r w:rsidR="00681352" w:rsidRPr="00B409A1">
        <w:rPr>
          <w:rFonts w:ascii="Times New Roman" w:hAnsi="Times New Roman"/>
          <w:sz w:val="24"/>
        </w:rPr>
        <w:t xml:space="preserve"> of the Roman elite e</w:t>
      </w:r>
      <w:r w:rsidR="00114226" w:rsidRPr="00B409A1">
        <w:rPr>
          <w:rFonts w:ascii="Times New Roman" w:hAnsi="Times New Roman"/>
          <w:sz w:val="24"/>
        </w:rPr>
        <w:t>ven as his estates generate t</w:t>
      </w:r>
      <w:r w:rsidR="000105BA" w:rsidRPr="00B409A1">
        <w:rPr>
          <w:rFonts w:ascii="Times New Roman" w:hAnsi="Times New Roman"/>
          <w:sz w:val="24"/>
        </w:rPr>
        <w:t>r</w:t>
      </w:r>
      <w:r w:rsidR="00114226" w:rsidRPr="00B409A1">
        <w:rPr>
          <w:rFonts w:ascii="Times New Roman" w:hAnsi="Times New Roman"/>
          <w:sz w:val="24"/>
        </w:rPr>
        <w:t>emendous</w:t>
      </w:r>
      <w:r w:rsidR="00681352" w:rsidRPr="00B409A1">
        <w:rPr>
          <w:rFonts w:ascii="Times New Roman" w:hAnsi="Times New Roman"/>
          <w:sz w:val="24"/>
        </w:rPr>
        <w:t xml:space="preserve"> economic power, he is relegated to a lower aristocracy—a </w:t>
      </w:r>
      <w:r w:rsidR="00547AB4" w:rsidRPr="00B409A1">
        <w:rPr>
          <w:rFonts w:ascii="Times New Roman" w:hAnsi="Times New Roman"/>
          <w:sz w:val="24"/>
        </w:rPr>
        <w:t>“</w:t>
      </w:r>
      <w:r w:rsidR="00681352" w:rsidRPr="00B409A1">
        <w:rPr>
          <w:rFonts w:ascii="Times New Roman" w:hAnsi="Times New Roman"/>
          <w:sz w:val="24"/>
        </w:rPr>
        <w:t>second gentry</w:t>
      </w:r>
      <w:r w:rsidR="00547AB4" w:rsidRPr="00B409A1">
        <w:rPr>
          <w:rFonts w:ascii="Times New Roman" w:hAnsi="Times New Roman"/>
          <w:sz w:val="24"/>
        </w:rPr>
        <w:t>”</w:t>
      </w:r>
      <w:r w:rsidR="00681352" w:rsidRPr="00B409A1">
        <w:rPr>
          <w:rFonts w:ascii="Times New Roman" w:hAnsi="Times New Roman"/>
          <w:sz w:val="24"/>
        </w:rPr>
        <w:t xml:space="preserve"> that, as its most celebrated member, is his to define.  </w:t>
      </w:r>
      <w:r w:rsidR="004F1321" w:rsidRPr="00B409A1">
        <w:rPr>
          <w:rFonts w:ascii="Times New Roman" w:hAnsi="Times New Roman"/>
          <w:sz w:val="24"/>
        </w:rPr>
        <w:t xml:space="preserve">One of the responsibilities that this position bestows upon Trimalchio is the introduction and indoctrination of new members to the values and customs that define this second gentry. That is, the responsibility </w:t>
      </w:r>
      <w:r w:rsidR="00EA059C" w:rsidRPr="00B409A1">
        <w:rPr>
          <w:rFonts w:ascii="Times New Roman" w:hAnsi="Times New Roman"/>
          <w:sz w:val="24"/>
        </w:rPr>
        <w:t xml:space="preserve">of ensuring the smooth transfer of ideology from an older generation to a younger one that typically fell to educators of the children of the Roman elite, in the case of the second gentry, falls upon Trimalchio himself. As such, the many comic inversions and perversions of the values of the Roman elite that are on display in the </w:t>
      </w:r>
      <w:r w:rsidR="00EA059C" w:rsidRPr="00B409A1">
        <w:rPr>
          <w:rFonts w:ascii="Times New Roman" w:hAnsi="Times New Roman"/>
          <w:i/>
          <w:sz w:val="24"/>
        </w:rPr>
        <w:t>Cena Trimalchionis</w:t>
      </w:r>
      <w:r w:rsidR="00681352" w:rsidRPr="00B409A1">
        <w:rPr>
          <w:rFonts w:ascii="Times New Roman" w:hAnsi="Times New Roman"/>
          <w:i/>
          <w:sz w:val="24"/>
        </w:rPr>
        <w:t xml:space="preserve"> </w:t>
      </w:r>
      <w:r w:rsidR="00EA059C" w:rsidRPr="00B409A1">
        <w:rPr>
          <w:rFonts w:ascii="Times New Roman" w:hAnsi="Times New Roman"/>
          <w:sz w:val="24"/>
        </w:rPr>
        <w:t>can be read as an evening in Trimalchio’s schoolhouse</w:t>
      </w:r>
      <w:r w:rsidR="00C63845" w:rsidRPr="00B409A1">
        <w:rPr>
          <w:rFonts w:ascii="Times New Roman" w:hAnsi="Times New Roman"/>
          <w:sz w:val="24"/>
        </w:rPr>
        <w:t>, where</w:t>
      </w:r>
      <w:r w:rsidR="009A3E65" w:rsidRPr="00B409A1">
        <w:rPr>
          <w:rFonts w:ascii="Times New Roman" w:hAnsi="Times New Roman"/>
          <w:sz w:val="24"/>
        </w:rPr>
        <w:t xml:space="preserve"> an emerging social class attempts to defi</w:t>
      </w:r>
      <w:r w:rsidR="003C307A" w:rsidRPr="00B409A1">
        <w:rPr>
          <w:rFonts w:ascii="Times New Roman" w:hAnsi="Times New Roman"/>
          <w:sz w:val="24"/>
        </w:rPr>
        <w:t>ne</w:t>
      </w:r>
      <w:r w:rsidR="000D104E" w:rsidRPr="00B409A1">
        <w:rPr>
          <w:rFonts w:ascii="Times New Roman" w:hAnsi="Times New Roman"/>
          <w:sz w:val="24"/>
        </w:rPr>
        <w:t xml:space="preserve"> it</w:t>
      </w:r>
      <w:r w:rsidR="003C307A" w:rsidRPr="00B409A1">
        <w:rPr>
          <w:rFonts w:ascii="Times New Roman" w:hAnsi="Times New Roman"/>
          <w:sz w:val="24"/>
        </w:rPr>
        <w:t xml:space="preserve">self in opposition to </w:t>
      </w:r>
      <w:r w:rsidR="000D104E" w:rsidRPr="00B409A1">
        <w:rPr>
          <w:rFonts w:ascii="Times New Roman" w:hAnsi="Times New Roman"/>
          <w:sz w:val="24"/>
        </w:rPr>
        <w:t xml:space="preserve">what it is not. </w:t>
      </w:r>
      <w:r w:rsidR="009A3E65" w:rsidRPr="00B409A1">
        <w:rPr>
          <w:rFonts w:ascii="Times New Roman" w:hAnsi="Times New Roman"/>
          <w:sz w:val="24"/>
        </w:rPr>
        <w:t xml:space="preserve"> </w:t>
      </w:r>
    </w:p>
    <w:p w:rsidR="002F5930" w:rsidRPr="00B409A1" w:rsidRDefault="009A3E65" w:rsidP="00D03793">
      <w:pPr>
        <w:rPr>
          <w:rFonts w:ascii="Times New Roman" w:hAnsi="Times New Roman" w:cs="Times New Roman"/>
          <w:sz w:val="24"/>
          <w:szCs w:val="24"/>
        </w:rPr>
      </w:pPr>
      <w:r w:rsidRPr="00B409A1">
        <w:rPr>
          <w:rFonts w:ascii="Times New Roman" w:hAnsi="Times New Roman"/>
          <w:sz w:val="24"/>
        </w:rPr>
        <w:tab/>
        <w:t>Taking as its starting point the role of “orienting mythologies” in the transfer and perpetuation of ideology discuss</w:t>
      </w:r>
      <w:r w:rsidR="003C307A" w:rsidRPr="00B409A1">
        <w:rPr>
          <w:rFonts w:ascii="Times New Roman" w:hAnsi="Times New Roman"/>
          <w:sz w:val="24"/>
        </w:rPr>
        <w:t>ed by the French Marxist literary critic</w:t>
      </w:r>
      <w:r w:rsidRPr="00B409A1">
        <w:rPr>
          <w:rFonts w:ascii="Times New Roman" w:hAnsi="Times New Roman"/>
          <w:sz w:val="24"/>
        </w:rPr>
        <w:t xml:space="preserve"> Louis Althusser, this paper explores the notion of Trimalchio as an educator</w:t>
      </w:r>
      <w:r w:rsidR="000D104E" w:rsidRPr="00B409A1">
        <w:rPr>
          <w:rFonts w:ascii="Times New Roman" w:hAnsi="Times New Roman"/>
          <w:sz w:val="24"/>
        </w:rPr>
        <w:t xml:space="preserve"> and his attempts</w:t>
      </w:r>
      <w:r w:rsidRPr="00B409A1">
        <w:rPr>
          <w:rFonts w:ascii="Times New Roman" w:hAnsi="Times New Roman"/>
          <w:sz w:val="24"/>
        </w:rPr>
        <w:t xml:space="preserve"> to initiate his fellow freedmen into an emerging social sphere that he himself epitomizes. I begin with a brief overview of the two most established Roman orienting mythologi</w:t>
      </w:r>
      <w:r w:rsidR="000D104E" w:rsidRPr="00B409A1">
        <w:rPr>
          <w:rFonts w:ascii="Times New Roman" w:hAnsi="Times New Roman"/>
          <w:sz w:val="24"/>
        </w:rPr>
        <w:t>es that Trimalchio dissolves</w:t>
      </w:r>
      <w:r w:rsidRPr="00B409A1">
        <w:rPr>
          <w:rFonts w:ascii="Times New Roman" w:hAnsi="Times New Roman"/>
          <w:sz w:val="24"/>
        </w:rPr>
        <w:t>—the mandate that the Roman youth should emulate their ancestors in all things (</w:t>
      </w:r>
      <w:r w:rsidRPr="00B409A1">
        <w:rPr>
          <w:rFonts w:ascii="Times New Roman" w:hAnsi="Times New Roman"/>
          <w:i/>
          <w:sz w:val="24"/>
        </w:rPr>
        <w:t>mos maiorum</w:t>
      </w:r>
      <w:r w:rsidRPr="00B409A1">
        <w:rPr>
          <w:rFonts w:ascii="Times New Roman" w:hAnsi="Times New Roman"/>
          <w:sz w:val="24"/>
        </w:rPr>
        <w:t xml:space="preserve">) and Homeric poetry. </w:t>
      </w:r>
      <w:r w:rsidR="00E82EC1" w:rsidRPr="00B409A1">
        <w:rPr>
          <w:rFonts w:ascii="Times New Roman" w:hAnsi="Times New Roman"/>
          <w:sz w:val="24"/>
        </w:rPr>
        <w:t xml:space="preserve">Next, I explore the </w:t>
      </w:r>
      <w:r w:rsidR="000105BA" w:rsidRPr="00B409A1">
        <w:rPr>
          <w:rFonts w:ascii="Times New Roman" w:hAnsi="Times New Roman"/>
          <w:sz w:val="24"/>
        </w:rPr>
        <w:t xml:space="preserve">didactic effects of the </w:t>
      </w:r>
      <w:r w:rsidR="00E82EC1" w:rsidRPr="00B409A1">
        <w:rPr>
          <w:rFonts w:ascii="Times New Roman" w:hAnsi="Times New Roman" w:cs="Times New Roman"/>
          <w:sz w:val="24"/>
          <w:szCs w:val="24"/>
        </w:rPr>
        <w:t xml:space="preserve">myriad gastronomical and literary subversions </w:t>
      </w:r>
      <w:r w:rsidR="000D104E" w:rsidRPr="00B409A1">
        <w:rPr>
          <w:rFonts w:ascii="Times New Roman" w:hAnsi="Times New Roman" w:cs="Times New Roman"/>
          <w:sz w:val="24"/>
          <w:szCs w:val="24"/>
        </w:rPr>
        <w:t>prese</w:t>
      </w:r>
      <w:r w:rsidR="000105BA" w:rsidRPr="00B409A1">
        <w:rPr>
          <w:rFonts w:ascii="Times New Roman" w:hAnsi="Times New Roman" w:cs="Times New Roman"/>
          <w:sz w:val="24"/>
          <w:szCs w:val="24"/>
        </w:rPr>
        <w:t>nt at the dinner. Throughout the</w:t>
      </w:r>
      <w:r w:rsidR="000D104E" w:rsidRPr="00B409A1">
        <w:rPr>
          <w:rFonts w:ascii="Times New Roman" w:hAnsi="Times New Roman" w:cs="Times New Roman"/>
          <w:sz w:val="24"/>
          <w:szCs w:val="24"/>
        </w:rPr>
        <w:t xml:space="preserve"> ongoing dinner theater Trimalchio </w:t>
      </w:r>
      <w:r w:rsidR="006C192E" w:rsidRPr="00B409A1">
        <w:rPr>
          <w:rFonts w:ascii="Times New Roman" w:hAnsi="Times New Roman" w:cs="Times New Roman"/>
          <w:sz w:val="24"/>
          <w:szCs w:val="24"/>
        </w:rPr>
        <w:t>redirect</w:t>
      </w:r>
      <w:r w:rsidR="000D104E" w:rsidRPr="00B409A1">
        <w:rPr>
          <w:rFonts w:ascii="Times New Roman" w:hAnsi="Times New Roman" w:cs="Times New Roman"/>
          <w:sz w:val="24"/>
          <w:szCs w:val="24"/>
        </w:rPr>
        <w:t>s</w:t>
      </w:r>
      <w:r w:rsidR="003C307A" w:rsidRPr="00B409A1">
        <w:rPr>
          <w:rFonts w:ascii="Times New Roman" w:hAnsi="Times New Roman" w:cs="Times New Roman"/>
          <w:sz w:val="24"/>
          <w:szCs w:val="24"/>
        </w:rPr>
        <w:t xml:space="preserve"> the </w:t>
      </w:r>
      <w:r w:rsidR="000D104E" w:rsidRPr="00B409A1">
        <w:rPr>
          <w:rFonts w:ascii="Times New Roman" w:hAnsi="Times New Roman" w:cs="Times New Roman"/>
          <w:sz w:val="24"/>
          <w:szCs w:val="24"/>
        </w:rPr>
        <w:t xml:space="preserve">more typical </w:t>
      </w:r>
      <w:r w:rsidR="003C307A" w:rsidRPr="00B409A1">
        <w:rPr>
          <w:rFonts w:ascii="Times New Roman" w:hAnsi="Times New Roman" w:cs="Times New Roman"/>
          <w:sz w:val="24"/>
          <w:szCs w:val="24"/>
        </w:rPr>
        <w:t xml:space="preserve">Roman </w:t>
      </w:r>
      <w:r w:rsidR="006C192E" w:rsidRPr="00B409A1">
        <w:rPr>
          <w:rFonts w:ascii="Times New Roman" w:hAnsi="Times New Roman" w:cs="Times New Roman"/>
          <w:sz w:val="24"/>
          <w:szCs w:val="24"/>
        </w:rPr>
        <w:t>orienting mythologies toward the speci</w:t>
      </w:r>
      <w:r w:rsidR="000D104E" w:rsidRPr="00B409A1">
        <w:rPr>
          <w:rFonts w:ascii="Times New Roman" w:hAnsi="Times New Roman" w:cs="Times New Roman"/>
          <w:sz w:val="24"/>
          <w:szCs w:val="24"/>
        </w:rPr>
        <w:t>fic values of the second gentr</w:t>
      </w:r>
      <w:r w:rsidR="003C307A" w:rsidRPr="00B409A1">
        <w:rPr>
          <w:rFonts w:ascii="Times New Roman" w:hAnsi="Times New Roman" w:cs="Times New Roman"/>
          <w:sz w:val="24"/>
          <w:szCs w:val="24"/>
        </w:rPr>
        <w:t>y,</w:t>
      </w:r>
      <w:r w:rsidR="00515DD9" w:rsidRPr="00B409A1">
        <w:rPr>
          <w:rFonts w:ascii="Times New Roman" w:hAnsi="Times New Roman" w:cs="Times New Roman"/>
          <w:sz w:val="24"/>
          <w:szCs w:val="24"/>
        </w:rPr>
        <w:t xml:space="preserve"> and each performance is conducted toward</w:t>
      </w:r>
      <w:r w:rsidR="000D104E" w:rsidRPr="00B409A1">
        <w:rPr>
          <w:rFonts w:ascii="Times New Roman" w:hAnsi="Times New Roman" w:cs="Times New Roman"/>
          <w:sz w:val="24"/>
          <w:szCs w:val="24"/>
        </w:rPr>
        <w:t xml:space="preserve"> a common purpose</w:t>
      </w:r>
      <w:r w:rsidR="00E82EC1" w:rsidRPr="00B409A1">
        <w:rPr>
          <w:rFonts w:ascii="Times New Roman" w:hAnsi="Times New Roman" w:cs="Times New Roman"/>
          <w:sz w:val="24"/>
          <w:szCs w:val="24"/>
        </w:rPr>
        <w:t>—the aggrandiz</w:t>
      </w:r>
      <w:r w:rsidR="000D104E" w:rsidRPr="00B409A1">
        <w:rPr>
          <w:rFonts w:ascii="Times New Roman" w:hAnsi="Times New Roman" w:cs="Times New Roman"/>
          <w:sz w:val="24"/>
          <w:szCs w:val="24"/>
        </w:rPr>
        <w:t>e</w:t>
      </w:r>
      <w:r w:rsidR="000105BA" w:rsidRPr="00B409A1">
        <w:rPr>
          <w:rFonts w:ascii="Times New Roman" w:hAnsi="Times New Roman" w:cs="Times New Roman"/>
          <w:sz w:val="24"/>
          <w:szCs w:val="24"/>
        </w:rPr>
        <w:t>ment of the meal itself. Accordingly</w:t>
      </w:r>
      <w:r w:rsidR="00E82EC1" w:rsidRPr="00B409A1">
        <w:rPr>
          <w:rFonts w:ascii="Times New Roman" w:hAnsi="Times New Roman" w:cs="Times New Roman"/>
          <w:sz w:val="24"/>
          <w:szCs w:val="24"/>
        </w:rPr>
        <w:t>, one might read the meal as a whole (its atmosphere, attendants, rituals, foods, etc.) as a syllabus to</w:t>
      </w:r>
      <w:r w:rsidR="006C192E" w:rsidRPr="00B409A1">
        <w:rPr>
          <w:rFonts w:ascii="Times New Roman" w:hAnsi="Times New Roman" w:cs="Times New Roman"/>
          <w:sz w:val="24"/>
          <w:szCs w:val="24"/>
        </w:rPr>
        <w:t xml:space="preserve"> the orienting education of a</w:t>
      </w:r>
      <w:r w:rsidR="000D104E" w:rsidRPr="00B409A1">
        <w:rPr>
          <w:rFonts w:ascii="Times New Roman" w:hAnsi="Times New Roman" w:cs="Times New Roman"/>
          <w:sz w:val="24"/>
          <w:szCs w:val="24"/>
        </w:rPr>
        <w:t xml:space="preserve"> successfully indoctrinated</w:t>
      </w:r>
      <w:r w:rsidR="00E82EC1" w:rsidRPr="00B409A1">
        <w:rPr>
          <w:rFonts w:ascii="Times New Roman" w:hAnsi="Times New Roman" w:cs="Times New Roman"/>
          <w:sz w:val="24"/>
          <w:szCs w:val="24"/>
        </w:rPr>
        <w:t xml:space="preserve"> member of the second gentry, a </w:t>
      </w:r>
      <w:r w:rsidR="00E82EC1" w:rsidRPr="00B409A1">
        <w:rPr>
          <w:rFonts w:ascii="Times New Roman" w:hAnsi="Times New Roman" w:cs="Times New Roman"/>
          <w:i/>
          <w:sz w:val="24"/>
          <w:szCs w:val="24"/>
        </w:rPr>
        <w:t xml:space="preserve">homo inter homines </w:t>
      </w:r>
      <w:r w:rsidR="006C192E" w:rsidRPr="00B409A1">
        <w:rPr>
          <w:rFonts w:ascii="Times New Roman" w:hAnsi="Times New Roman" w:cs="Times New Roman"/>
          <w:sz w:val="24"/>
          <w:szCs w:val="24"/>
        </w:rPr>
        <w:t>(</w:t>
      </w:r>
      <w:r w:rsidR="00CD295E" w:rsidRPr="00B409A1">
        <w:rPr>
          <w:rFonts w:ascii="Times New Roman" w:hAnsi="Times New Roman" w:cs="Times New Roman"/>
          <w:sz w:val="24"/>
          <w:szCs w:val="24"/>
        </w:rPr>
        <w:t>57.5</w:t>
      </w:r>
      <w:r w:rsidR="006C192E" w:rsidRPr="00B409A1">
        <w:rPr>
          <w:rFonts w:ascii="Times New Roman" w:hAnsi="Times New Roman" w:cs="Times New Roman"/>
          <w:sz w:val="24"/>
          <w:szCs w:val="24"/>
        </w:rPr>
        <w:t>)</w:t>
      </w:r>
      <w:r w:rsidR="000D104E" w:rsidRPr="00B409A1">
        <w:rPr>
          <w:rFonts w:ascii="Times New Roman" w:hAnsi="Times New Roman" w:cs="Times New Roman"/>
          <w:sz w:val="24"/>
          <w:szCs w:val="24"/>
        </w:rPr>
        <w:t>. Finally, I</w:t>
      </w:r>
      <w:r w:rsidR="00E82EC1" w:rsidRPr="00B409A1">
        <w:rPr>
          <w:rFonts w:ascii="Times New Roman" w:hAnsi="Times New Roman" w:cs="Times New Roman"/>
          <w:sz w:val="24"/>
          <w:szCs w:val="24"/>
        </w:rPr>
        <w:t xml:space="preserve"> postulate a few of the more prominent orienting mythologies that form the foundation upon which the lessons of the </w:t>
      </w:r>
      <w:r w:rsidR="00E82EC1" w:rsidRPr="00B409A1">
        <w:rPr>
          <w:rFonts w:ascii="Times New Roman" w:hAnsi="Times New Roman" w:cs="Times New Roman"/>
          <w:i/>
          <w:sz w:val="24"/>
          <w:szCs w:val="24"/>
        </w:rPr>
        <w:t>Cena Trimalchionis</w:t>
      </w:r>
      <w:r w:rsidR="00E82EC1" w:rsidRPr="00B409A1">
        <w:rPr>
          <w:rFonts w:ascii="Times New Roman" w:hAnsi="Times New Roman" w:cs="Times New Roman"/>
          <w:sz w:val="24"/>
          <w:szCs w:val="24"/>
        </w:rPr>
        <w:t xml:space="preserve"> rest.</w:t>
      </w:r>
      <w:r w:rsidR="00515DD9" w:rsidRPr="00B409A1">
        <w:rPr>
          <w:rFonts w:ascii="Times New Roman" w:hAnsi="Times New Roman" w:cs="Times New Roman"/>
          <w:sz w:val="24"/>
          <w:szCs w:val="24"/>
        </w:rPr>
        <w:t xml:space="preserve"> Indeed, beneath</w:t>
      </w:r>
      <w:r w:rsidR="00023538" w:rsidRPr="00B409A1">
        <w:rPr>
          <w:rFonts w:ascii="Times New Roman" w:hAnsi="Times New Roman" w:cs="Times New Roman"/>
          <w:sz w:val="24"/>
          <w:szCs w:val="24"/>
        </w:rPr>
        <w:t xml:space="preserve"> Petronius’ comic lampooning of the Roman aristocracy there runs a more serious undercurrent that explores the experience of an increasingly populous and wealthy segment of the Roman population. </w:t>
      </w:r>
    </w:p>
    <w:p w:rsidR="00023538" w:rsidRPr="00B409A1" w:rsidRDefault="00023538" w:rsidP="00D03793">
      <w:pPr>
        <w:rPr>
          <w:rFonts w:ascii="Times New Roman" w:hAnsi="Times New Roman" w:cs="Times New Roman"/>
          <w:sz w:val="24"/>
          <w:szCs w:val="24"/>
        </w:rPr>
      </w:pPr>
      <w:r w:rsidRPr="00B409A1">
        <w:rPr>
          <w:rFonts w:ascii="Times New Roman" w:hAnsi="Times New Roman" w:cs="Times New Roman"/>
          <w:sz w:val="24"/>
          <w:szCs w:val="24"/>
        </w:rPr>
        <w:t>Working Bibliography</w:t>
      </w:r>
    </w:p>
    <w:p w:rsidR="00023538" w:rsidRPr="00B409A1" w:rsidRDefault="00023538" w:rsidP="00023538">
      <w:pPr>
        <w:spacing w:line="240" w:lineRule="auto"/>
        <w:ind w:left="720" w:hanging="720"/>
        <w:rPr>
          <w:rFonts w:ascii="Times New Roman" w:hAnsi="Times New Roman" w:cs="Times New Roman"/>
          <w:sz w:val="24"/>
          <w:szCs w:val="24"/>
        </w:rPr>
      </w:pPr>
      <w:r w:rsidRPr="00B409A1">
        <w:rPr>
          <w:rFonts w:ascii="Times New Roman" w:hAnsi="Times New Roman" w:cs="Times New Roman"/>
          <w:sz w:val="24"/>
          <w:szCs w:val="24"/>
        </w:rPr>
        <w:t xml:space="preserve">Althusser, Louis (2001). </w:t>
      </w:r>
      <w:r w:rsidRPr="00B409A1">
        <w:rPr>
          <w:rFonts w:ascii="Times New Roman" w:hAnsi="Times New Roman" w:cs="Times New Roman"/>
          <w:i/>
          <w:sz w:val="24"/>
          <w:szCs w:val="24"/>
        </w:rPr>
        <w:t>Ideology and State Ideological Apparatuses</w:t>
      </w:r>
      <w:r w:rsidRPr="00B409A1">
        <w:rPr>
          <w:rFonts w:ascii="Times New Roman" w:hAnsi="Times New Roman" w:cs="Times New Roman"/>
          <w:sz w:val="24"/>
          <w:szCs w:val="24"/>
        </w:rPr>
        <w:t xml:space="preserve">. In Vincent Leitch et al. (eds.), </w:t>
      </w:r>
      <w:r w:rsidRPr="00B409A1">
        <w:rPr>
          <w:rFonts w:ascii="Times New Roman" w:hAnsi="Times New Roman" w:cs="Times New Roman"/>
          <w:i/>
          <w:sz w:val="24"/>
          <w:szCs w:val="24"/>
        </w:rPr>
        <w:t>The Norton Anthology of Theory and Criticism</w:t>
      </w:r>
      <w:r w:rsidRPr="00B409A1">
        <w:rPr>
          <w:rFonts w:ascii="Times New Roman" w:hAnsi="Times New Roman" w:cs="Times New Roman"/>
          <w:sz w:val="24"/>
          <w:szCs w:val="24"/>
        </w:rPr>
        <w:t>. New York: W.W. Norton and Co.</w:t>
      </w:r>
    </w:p>
    <w:p w:rsidR="00023538" w:rsidRPr="00B409A1" w:rsidRDefault="00023538" w:rsidP="00023538">
      <w:pPr>
        <w:spacing w:line="240" w:lineRule="auto"/>
        <w:ind w:left="720" w:hanging="720"/>
        <w:rPr>
          <w:rFonts w:ascii="Times New Roman" w:hAnsi="Times New Roman" w:cs="Times New Roman"/>
          <w:sz w:val="24"/>
          <w:szCs w:val="24"/>
        </w:rPr>
      </w:pPr>
      <w:r w:rsidRPr="00B409A1">
        <w:rPr>
          <w:rFonts w:ascii="Times New Roman" w:hAnsi="Times New Roman" w:cs="Times New Roman"/>
          <w:sz w:val="24"/>
          <w:szCs w:val="24"/>
        </w:rPr>
        <w:t xml:space="preserve">Courtney, Edward (2001). </w:t>
      </w:r>
      <w:r w:rsidRPr="00B409A1">
        <w:rPr>
          <w:rFonts w:ascii="Times New Roman" w:hAnsi="Times New Roman" w:cs="Times New Roman"/>
          <w:i/>
          <w:sz w:val="24"/>
          <w:szCs w:val="24"/>
        </w:rPr>
        <w:t xml:space="preserve">A Companion to Petronius. </w:t>
      </w:r>
      <w:r w:rsidRPr="00B409A1">
        <w:rPr>
          <w:rFonts w:ascii="Times New Roman" w:hAnsi="Times New Roman" w:cs="Times New Roman"/>
          <w:sz w:val="24"/>
          <w:szCs w:val="24"/>
        </w:rPr>
        <w:t>Cambridge: Cambridge University Press</w:t>
      </w:r>
    </w:p>
    <w:p w:rsidR="00023538" w:rsidRPr="00B409A1" w:rsidRDefault="00023538" w:rsidP="00023538">
      <w:pPr>
        <w:spacing w:line="240" w:lineRule="auto"/>
        <w:ind w:left="720" w:hanging="720"/>
        <w:rPr>
          <w:rFonts w:ascii="Times New Roman" w:hAnsi="Times New Roman" w:cs="Times New Roman"/>
          <w:sz w:val="24"/>
          <w:szCs w:val="24"/>
        </w:rPr>
      </w:pPr>
      <w:r w:rsidRPr="00B409A1">
        <w:rPr>
          <w:rFonts w:ascii="Times New Roman" w:hAnsi="Times New Roman" w:cs="Times New Roman"/>
          <w:sz w:val="24"/>
          <w:szCs w:val="24"/>
        </w:rPr>
        <w:t xml:space="preserve">D’arms, John H. (1981). </w:t>
      </w:r>
      <w:r w:rsidRPr="00B409A1">
        <w:rPr>
          <w:rFonts w:ascii="Times New Roman" w:hAnsi="Times New Roman" w:cs="Times New Roman"/>
          <w:i/>
          <w:sz w:val="24"/>
          <w:szCs w:val="24"/>
        </w:rPr>
        <w:t>Commerce and Social Standing in Ancient Rome</w:t>
      </w:r>
      <w:r w:rsidRPr="00B409A1">
        <w:rPr>
          <w:rFonts w:ascii="Times New Roman" w:hAnsi="Times New Roman" w:cs="Times New Roman"/>
          <w:sz w:val="24"/>
          <w:szCs w:val="24"/>
        </w:rPr>
        <w:t>. Cambridge: Harvard University Press</w:t>
      </w:r>
    </w:p>
    <w:p w:rsidR="00023538" w:rsidRPr="00B409A1" w:rsidRDefault="006D1B7F" w:rsidP="0042667B">
      <w:pPr>
        <w:spacing w:line="240" w:lineRule="auto"/>
        <w:ind w:left="720" w:hanging="720"/>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0,0l21600,21600e" filled="f">
            <v:path arrowok="t" fillok="f" o:connecttype="none"/>
            <o:lock v:ext="edit" shapetype="t"/>
          </v:shapetype>
          <v:shape id="_x0000_s1026" type="#_x0000_t32" style="position:absolute;left:0;text-align:left;margin-left:1.5pt;margin-top:7.15pt;width:30.75pt;height:0;z-index:251658240" o:connectortype="straight"/>
        </w:pict>
      </w:r>
      <w:r w:rsidR="0042667B" w:rsidRPr="00B409A1">
        <w:rPr>
          <w:rFonts w:ascii="Times New Roman" w:hAnsi="Times New Roman" w:cs="Times New Roman"/>
          <w:sz w:val="24"/>
          <w:szCs w:val="24"/>
        </w:rPr>
        <w:t xml:space="preserve">             </w:t>
      </w:r>
      <w:r w:rsidR="00023538" w:rsidRPr="00B409A1">
        <w:rPr>
          <w:rFonts w:ascii="Times New Roman" w:hAnsi="Times New Roman" w:cs="Times New Roman"/>
          <w:sz w:val="24"/>
          <w:szCs w:val="24"/>
        </w:rPr>
        <w:t xml:space="preserve">(1991). </w:t>
      </w:r>
      <w:r w:rsidR="00023538" w:rsidRPr="00B409A1">
        <w:rPr>
          <w:rFonts w:ascii="Times New Roman" w:hAnsi="Times New Roman" w:cs="Times New Roman"/>
          <w:i/>
          <w:sz w:val="24"/>
          <w:szCs w:val="24"/>
        </w:rPr>
        <w:t>Slaves at Roman Convivia</w:t>
      </w:r>
      <w:r w:rsidR="00023538" w:rsidRPr="00B409A1">
        <w:rPr>
          <w:rFonts w:ascii="Times New Roman" w:hAnsi="Times New Roman" w:cs="Times New Roman"/>
          <w:sz w:val="24"/>
          <w:szCs w:val="24"/>
        </w:rPr>
        <w:t>. In William Slater (ed.) Dining in a Classical Contect. Ann Arbor: The University of Michigan Press</w:t>
      </w:r>
    </w:p>
    <w:p w:rsidR="00023538" w:rsidRPr="00B409A1" w:rsidRDefault="00023538" w:rsidP="00023538">
      <w:pPr>
        <w:spacing w:line="240" w:lineRule="auto"/>
        <w:ind w:left="720" w:hanging="720"/>
        <w:rPr>
          <w:rFonts w:ascii="Times New Roman" w:hAnsi="Times New Roman" w:cs="Times New Roman"/>
          <w:sz w:val="24"/>
          <w:szCs w:val="24"/>
        </w:rPr>
      </w:pPr>
      <w:r w:rsidRPr="00B409A1">
        <w:rPr>
          <w:rFonts w:ascii="Times New Roman" w:hAnsi="Times New Roman" w:cs="Times New Roman"/>
          <w:sz w:val="24"/>
          <w:szCs w:val="24"/>
        </w:rPr>
        <w:t xml:space="preserve">Garnsey, Peter (1999). </w:t>
      </w:r>
      <w:r w:rsidRPr="00B409A1">
        <w:rPr>
          <w:rFonts w:ascii="Times New Roman" w:hAnsi="Times New Roman" w:cs="Times New Roman"/>
          <w:i/>
          <w:sz w:val="24"/>
          <w:szCs w:val="24"/>
        </w:rPr>
        <w:t>Food and Society in Classical Antiquity</w:t>
      </w:r>
      <w:r w:rsidRPr="00B409A1">
        <w:rPr>
          <w:rFonts w:ascii="Times New Roman" w:hAnsi="Times New Roman" w:cs="Times New Roman"/>
          <w:sz w:val="24"/>
          <w:szCs w:val="24"/>
        </w:rPr>
        <w:t>. Cambridge: Cambridge University Press</w:t>
      </w:r>
    </w:p>
    <w:p w:rsidR="00023538" w:rsidRPr="00B409A1" w:rsidRDefault="00023538" w:rsidP="00023538">
      <w:pPr>
        <w:spacing w:line="240" w:lineRule="auto"/>
        <w:ind w:left="720" w:hanging="720"/>
        <w:rPr>
          <w:rFonts w:ascii="Times New Roman" w:hAnsi="Times New Roman" w:cs="Times New Roman"/>
          <w:sz w:val="24"/>
          <w:szCs w:val="24"/>
        </w:rPr>
      </w:pPr>
      <w:r w:rsidRPr="00B409A1">
        <w:rPr>
          <w:rFonts w:ascii="Times New Roman" w:hAnsi="Times New Roman" w:cs="Times New Roman"/>
          <w:sz w:val="24"/>
          <w:szCs w:val="24"/>
        </w:rPr>
        <w:t xml:space="preserve">Goody, Jack (1982). </w:t>
      </w:r>
      <w:r w:rsidRPr="00B409A1">
        <w:rPr>
          <w:rFonts w:ascii="Times New Roman" w:hAnsi="Times New Roman" w:cs="Times New Roman"/>
          <w:i/>
          <w:sz w:val="24"/>
          <w:szCs w:val="24"/>
        </w:rPr>
        <w:t>Cooking, Cuisine, and Class: A Study in Comparative Sociology</w:t>
      </w:r>
      <w:r w:rsidRPr="00B409A1">
        <w:rPr>
          <w:rFonts w:ascii="Times New Roman" w:hAnsi="Times New Roman" w:cs="Times New Roman"/>
          <w:sz w:val="24"/>
          <w:szCs w:val="24"/>
        </w:rPr>
        <w:t>. Cambridge: Cambridge University Press</w:t>
      </w:r>
    </w:p>
    <w:p w:rsidR="00023538" w:rsidRPr="00B409A1" w:rsidRDefault="00023538" w:rsidP="00023538">
      <w:pPr>
        <w:spacing w:line="240" w:lineRule="auto"/>
        <w:ind w:left="720" w:hanging="720"/>
        <w:rPr>
          <w:rFonts w:ascii="Times New Roman" w:hAnsi="Times New Roman" w:cs="Times New Roman"/>
          <w:sz w:val="24"/>
          <w:szCs w:val="24"/>
        </w:rPr>
      </w:pPr>
      <w:r w:rsidRPr="00B409A1">
        <w:rPr>
          <w:rFonts w:ascii="Times New Roman" w:hAnsi="Times New Roman" w:cs="Times New Roman"/>
          <w:sz w:val="24"/>
          <w:szCs w:val="24"/>
        </w:rPr>
        <w:t xml:space="preserve">Jones, Christopher P. (1991). </w:t>
      </w:r>
      <w:r w:rsidRPr="00B409A1">
        <w:rPr>
          <w:rFonts w:ascii="Times New Roman" w:hAnsi="Times New Roman" w:cs="Times New Roman"/>
          <w:i/>
          <w:sz w:val="24"/>
          <w:szCs w:val="24"/>
        </w:rPr>
        <w:t>Dinner Theater</w:t>
      </w:r>
      <w:r w:rsidRPr="00B409A1">
        <w:rPr>
          <w:rFonts w:ascii="Times New Roman" w:hAnsi="Times New Roman" w:cs="Times New Roman"/>
          <w:sz w:val="24"/>
          <w:szCs w:val="24"/>
        </w:rPr>
        <w:t>. In William Slater (ed.) Dining in a Classical Contect. Ann Arbor: The University of Michigan Press</w:t>
      </w:r>
    </w:p>
    <w:p w:rsidR="00023538" w:rsidRPr="00B409A1" w:rsidRDefault="00023538" w:rsidP="00023538">
      <w:pPr>
        <w:spacing w:line="240" w:lineRule="auto"/>
        <w:ind w:left="720" w:hanging="720"/>
        <w:rPr>
          <w:rFonts w:ascii="Times New Roman" w:hAnsi="Times New Roman" w:cs="Times New Roman"/>
          <w:sz w:val="24"/>
          <w:szCs w:val="24"/>
        </w:rPr>
      </w:pPr>
      <w:r w:rsidRPr="00B409A1">
        <w:rPr>
          <w:rFonts w:ascii="Times New Roman" w:hAnsi="Times New Roman" w:cs="Times New Roman"/>
          <w:sz w:val="24"/>
          <w:szCs w:val="24"/>
        </w:rPr>
        <w:t xml:space="preserve">Smith, Martin (1975). </w:t>
      </w:r>
      <w:r w:rsidRPr="00B409A1">
        <w:rPr>
          <w:rFonts w:ascii="Times New Roman" w:hAnsi="Times New Roman" w:cs="Times New Roman"/>
          <w:i/>
          <w:sz w:val="24"/>
          <w:szCs w:val="24"/>
        </w:rPr>
        <w:t>Petronii Arbiti Cena Trimalcionis</w:t>
      </w:r>
      <w:r w:rsidRPr="00B409A1">
        <w:rPr>
          <w:rFonts w:ascii="Times New Roman" w:hAnsi="Times New Roman" w:cs="Times New Roman"/>
          <w:sz w:val="24"/>
          <w:szCs w:val="24"/>
        </w:rPr>
        <w:t>. Oxford: Oxford University Press</w:t>
      </w:r>
    </w:p>
    <w:p w:rsidR="00023538" w:rsidRPr="00B409A1" w:rsidRDefault="00023538" w:rsidP="00023538">
      <w:pPr>
        <w:spacing w:line="240" w:lineRule="auto"/>
        <w:ind w:left="720" w:hanging="720"/>
        <w:rPr>
          <w:rFonts w:ascii="Times New Roman" w:hAnsi="Times New Roman" w:cs="Times New Roman"/>
          <w:sz w:val="24"/>
        </w:rPr>
      </w:pPr>
      <w:r w:rsidRPr="00B409A1">
        <w:rPr>
          <w:rFonts w:ascii="Times New Roman" w:hAnsi="Times New Roman" w:cs="Times New Roman"/>
          <w:sz w:val="24"/>
          <w:szCs w:val="24"/>
        </w:rPr>
        <w:t xml:space="preserve">Wilkins, A. S. (1905). </w:t>
      </w:r>
      <w:r w:rsidRPr="00B409A1">
        <w:rPr>
          <w:rFonts w:ascii="Times New Roman" w:hAnsi="Times New Roman" w:cs="Times New Roman"/>
          <w:i/>
          <w:sz w:val="24"/>
          <w:szCs w:val="24"/>
        </w:rPr>
        <w:t>Roman Education.</w:t>
      </w:r>
      <w:r w:rsidRPr="00B409A1">
        <w:rPr>
          <w:rFonts w:ascii="Times New Roman" w:hAnsi="Times New Roman" w:cs="Times New Roman"/>
          <w:sz w:val="24"/>
          <w:szCs w:val="24"/>
        </w:rPr>
        <w:t xml:space="preserve"> Cambridge: Cambridge University Press</w:t>
      </w:r>
    </w:p>
    <w:p w:rsidR="00023538" w:rsidRPr="00B409A1" w:rsidRDefault="00023538" w:rsidP="00D03793">
      <w:pPr>
        <w:rPr>
          <w:rFonts w:ascii="Times New Roman" w:hAnsi="Times New Roman"/>
          <w:sz w:val="24"/>
        </w:rPr>
      </w:pPr>
    </w:p>
    <w:sectPr w:rsidR="00023538" w:rsidRPr="00B409A1" w:rsidSect="00D744C6">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rsids>
    <w:rsidRoot w:val="002F5930"/>
    <w:rsid w:val="000105BA"/>
    <w:rsid w:val="00023538"/>
    <w:rsid w:val="000D104E"/>
    <w:rsid w:val="000D4167"/>
    <w:rsid w:val="00114226"/>
    <w:rsid w:val="002F5930"/>
    <w:rsid w:val="003C307A"/>
    <w:rsid w:val="0042667B"/>
    <w:rsid w:val="00437686"/>
    <w:rsid w:val="00470108"/>
    <w:rsid w:val="004F1321"/>
    <w:rsid w:val="00505EC8"/>
    <w:rsid w:val="00515DD9"/>
    <w:rsid w:val="00547AB4"/>
    <w:rsid w:val="0065740F"/>
    <w:rsid w:val="00681352"/>
    <w:rsid w:val="006C192E"/>
    <w:rsid w:val="006D1B7F"/>
    <w:rsid w:val="006F0BB8"/>
    <w:rsid w:val="00760064"/>
    <w:rsid w:val="007A6C39"/>
    <w:rsid w:val="00800F97"/>
    <w:rsid w:val="008C6BD6"/>
    <w:rsid w:val="009A3E65"/>
    <w:rsid w:val="009E3CCC"/>
    <w:rsid w:val="00A30D97"/>
    <w:rsid w:val="00A64576"/>
    <w:rsid w:val="00B409A1"/>
    <w:rsid w:val="00B72601"/>
    <w:rsid w:val="00BC51E7"/>
    <w:rsid w:val="00C63845"/>
    <w:rsid w:val="00CD295E"/>
    <w:rsid w:val="00D03793"/>
    <w:rsid w:val="00D71E8F"/>
    <w:rsid w:val="00D744C6"/>
    <w:rsid w:val="00DC0FFE"/>
    <w:rsid w:val="00E82EC1"/>
    <w:rsid w:val="00EA059C"/>
    <w:rsid w:val="00F02B3B"/>
  </w:rsids>
  <m:mathPr>
    <m:mathFont m:val="Abadi MT Condensed Extra Bold"/>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CCC"/>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0235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53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269</TotalTime>
  <Pages>2</Pages>
  <Words>744</Words>
  <Characters>3724</Characters>
  <Application>Microsoft Macintosh Word</Application>
  <DocSecurity>0</DocSecurity>
  <Lines>57</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5213</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Information and Instructional Technologies</cp:lastModifiedBy>
  <cp:revision>8</cp:revision>
  <dcterms:created xsi:type="dcterms:W3CDTF">2010-08-04T00:41:00Z</dcterms:created>
  <dcterms:modified xsi:type="dcterms:W3CDTF">2010-09-28T22:27:00Z</dcterms:modified>
  <cp:category/>
</cp:coreProperties>
</file>