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C9" w:rsidRDefault="004612BB" w:rsidP="00497A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C6173" w:rsidRPr="00CC6173">
        <w:rPr>
          <w:rFonts w:ascii="Times New Roman" w:hAnsi="Times New Roman" w:cs="Times New Roman"/>
          <w:sz w:val="24"/>
          <w:szCs w:val="24"/>
        </w:rPr>
        <w:t>emale Patronage in Early Imperial Rome</w:t>
      </w:r>
      <w:r w:rsidR="005D6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173" w:rsidRPr="00CC6173" w:rsidRDefault="00CC6173" w:rsidP="00497AE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225" w:rsidRDefault="00CC6173" w:rsidP="00497A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6173">
        <w:rPr>
          <w:rFonts w:ascii="Times New Roman" w:hAnsi="Times New Roman" w:cs="Times New Roman"/>
          <w:sz w:val="24"/>
          <w:szCs w:val="24"/>
        </w:rPr>
        <w:tab/>
        <w:t xml:space="preserve">In </w:t>
      </w:r>
      <w:r w:rsidRPr="003A18BA">
        <w:rPr>
          <w:rFonts w:ascii="Times New Roman" w:hAnsi="Times New Roman" w:cs="Times New Roman"/>
          <w:i/>
          <w:sz w:val="24"/>
          <w:szCs w:val="24"/>
        </w:rPr>
        <w:t>Epistulae ex Ponto</w:t>
      </w:r>
      <w:r w:rsidRPr="00CC6173">
        <w:rPr>
          <w:rFonts w:ascii="Times New Roman" w:hAnsi="Times New Roman" w:cs="Times New Roman"/>
          <w:sz w:val="24"/>
          <w:szCs w:val="24"/>
        </w:rPr>
        <w:t xml:space="preserve"> III.1 Ovid, writing from exile, encourages his wife to approach Livia and petition Augustus’ wife to assist in convincing the </w:t>
      </w:r>
      <w:r w:rsidRPr="003A18BA">
        <w:rPr>
          <w:rFonts w:ascii="Times New Roman" w:hAnsi="Times New Roman" w:cs="Times New Roman"/>
          <w:i/>
          <w:sz w:val="24"/>
          <w:szCs w:val="24"/>
        </w:rPr>
        <w:t>princeps</w:t>
      </w:r>
      <w:r w:rsidRPr="00CC6173">
        <w:rPr>
          <w:rFonts w:ascii="Times New Roman" w:hAnsi="Times New Roman" w:cs="Times New Roman"/>
          <w:sz w:val="24"/>
          <w:szCs w:val="24"/>
        </w:rPr>
        <w:t xml:space="preserve"> of the need to recall Ovid from Tomis.  The poem is of great interest, not only in that Ovid presents such a situation as plausible, but that he grants great power to Livia and </w:t>
      </w:r>
      <w:r w:rsidR="007E67D3">
        <w:rPr>
          <w:rFonts w:ascii="Times New Roman" w:hAnsi="Times New Roman" w:cs="Times New Roman"/>
          <w:sz w:val="24"/>
          <w:szCs w:val="24"/>
        </w:rPr>
        <w:t>details</w:t>
      </w:r>
      <w:r w:rsidRPr="00CC6173">
        <w:rPr>
          <w:rFonts w:ascii="Times New Roman" w:hAnsi="Times New Roman" w:cs="Times New Roman"/>
          <w:sz w:val="24"/>
          <w:szCs w:val="24"/>
        </w:rPr>
        <w:t xml:space="preserve"> </w:t>
      </w:r>
      <w:r w:rsidR="00456005">
        <w:rPr>
          <w:rFonts w:ascii="Times New Roman" w:hAnsi="Times New Roman" w:cs="Times New Roman"/>
          <w:sz w:val="24"/>
          <w:szCs w:val="24"/>
        </w:rPr>
        <w:t>a particular social</w:t>
      </w:r>
      <w:r w:rsidRPr="00CC6173">
        <w:rPr>
          <w:rFonts w:ascii="Times New Roman" w:hAnsi="Times New Roman" w:cs="Times New Roman"/>
          <w:sz w:val="24"/>
          <w:szCs w:val="24"/>
        </w:rPr>
        <w:t xml:space="preserve"> interaction </w:t>
      </w:r>
      <w:r w:rsidR="007E67D3">
        <w:rPr>
          <w:rFonts w:ascii="Times New Roman" w:hAnsi="Times New Roman" w:cs="Times New Roman"/>
          <w:sz w:val="24"/>
          <w:szCs w:val="24"/>
        </w:rPr>
        <w:t>exclusively</w:t>
      </w:r>
      <w:r w:rsidRPr="00CC6173">
        <w:rPr>
          <w:rFonts w:ascii="Times New Roman" w:hAnsi="Times New Roman" w:cs="Times New Roman"/>
          <w:sz w:val="24"/>
          <w:szCs w:val="24"/>
        </w:rPr>
        <w:t xml:space="preserve"> between two women.  </w:t>
      </w:r>
      <w:r w:rsidR="007E67D3">
        <w:rPr>
          <w:rFonts w:ascii="Times New Roman" w:hAnsi="Times New Roman" w:cs="Times New Roman"/>
          <w:sz w:val="24"/>
          <w:szCs w:val="24"/>
        </w:rPr>
        <w:t xml:space="preserve">Commentators </w:t>
      </w:r>
      <w:r w:rsidR="00456005">
        <w:rPr>
          <w:rFonts w:ascii="Times New Roman" w:hAnsi="Times New Roman" w:cs="Times New Roman"/>
          <w:sz w:val="24"/>
          <w:szCs w:val="24"/>
        </w:rPr>
        <w:t xml:space="preserve">on the poem </w:t>
      </w:r>
      <w:r w:rsidR="007E67D3">
        <w:rPr>
          <w:rFonts w:ascii="Times New Roman" w:hAnsi="Times New Roman" w:cs="Times New Roman"/>
          <w:sz w:val="24"/>
          <w:szCs w:val="24"/>
        </w:rPr>
        <w:t xml:space="preserve">have characterized the possibility of Ovid’s wife even approaching Livia as far-fetched, and the idea that Livia wielded such power as to convince her husband to undertake </w:t>
      </w:r>
      <w:r w:rsidR="00524D5E">
        <w:rPr>
          <w:rFonts w:ascii="Times New Roman" w:hAnsi="Times New Roman" w:cs="Times New Roman"/>
          <w:sz w:val="24"/>
          <w:szCs w:val="24"/>
        </w:rPr>
        <w:t>any</w:t>
      </w:r>
      <w:r w:rsidR="007E67D3">
        <w:rPr>
          <w:rFonts w:ascii="Times New Roman" w:hAnsi="Times New Roman" w:cs="Times New Roman"/>
          <w:sz w:val="24"/>
          <w:szCs w:val="24"/>
        </w:rPr>
        <w:t xml:space="preserve"> action as unbelievable- dismissing the episode as wishful fiction from a desperate poet.</w:t>
      </w:r>
    </w:p>
    <w:p w:rsidR="005607A4" w:rsidRDefault="00DF4225" w:rsidP="00C07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="00623709">
        <w:rPr>
          <w:rFonts w:ascii="Times New Roman" w:hAnsi="Times New Roman" w:cs="Times New Roman"/>
          <w:sz w:val="24"/>
          <w:szCs w:val="24"/>
        </w:rPr>
        <w:t xml:space="preserve">n this paper I examine the advice Ovid gives his wife </w:t>
      </w:r>
      <w:r w:rsidR="007E67D3">
        <w:rPr>
          <w:rFonts w:ascii="Times New Roman" w:hAnsi="Times New Roman" w:cs="Times New Roman"/>
          <w:sz w:val="24"/>
          <w:szCs w:val="24"/>
        </w:rPr>
        <w:t>(</w:t>
      </w:r>
      <w:r w:rsidR="00623709" w:rsidRPr="008D64C1">
        <w:rPr>
          <w:rFonts w:ascii="Times New Roman" w:hAnsi="Times New Roman" w:cs="Times New Roman"/>
          <w:i/>
          <w:sz w:val="24"/>
          <w:szCs w:val="24"/>
        </w:rPr>
        <w:t>Pont</w:t>
      </w:r>
      <w:r w:rsidR="00623709">
        <w:rPr>
          <w:rFonts w:ascii="Times New Roman" w:hAnsi="Times New Roman" w:cs="Times New Roman"/>
          <w:sz w:val="24"/>
          <w:szCs w:val="24"/>
        </w:rPr>
        <w:t>. III.1</w:t>
      </w:r>
      <w:r w:rsidR="007E67D3">
        <w:rPr>
          <w:rFonts w:ascii="Times New Roman" w:hAnsi="Times New Roman" w:cs="Times New Roman"/>
          <w:sz w:val="24"/>
          <w:szCs w:val="24"/>
        </w:rPr>
        <w:t>.105-166)</w:t>
      </w:r>
      <w:r w:rsidR="00623709">
        <w:rPr>
          <w:rFonts w:ascii="Times New Roman" w:hAnsi="Times New Roman" w:cs="Times New Roman"/>
          <w:sz w:val="24"/>
          <w:szCs w:val="24"/>
        </w:rPr>
        <w:t xml:space="preserve"> and argue that Ovid’s presentation of his wife’s action with Livia is representative of a wider societal </w:t>
      </w:r>
      <w:r w:rsidR="00456005">
        <w:rPr>
          <w:rFonts w:ascii="Times New Roman" w:hAnsi="Times New Roman" w:cs="Times New Roman"/>
          <w:sz w:val="24"/>
          <w:szCs w:val="24"/>
        </w:rPr>
        <w:t>convention</w:t>
      </w:r>
      <w:r w:rsidR="00623709">
        <w:rPr>
          <w:rFonts w:ascii="Times New Roman" w:hAnsi="Times New Roman" w:cs="Times New Roman"/>
          <w:sz w:val="24"/>
          <w:szCs w:val="24"/>
        </w:rPr>
        <w:t xml:space="preserve">.  The </w:t>
      </w:r>
      <w:r w:rsidR="00623709" w:rsidRPr="00623709">
        <w:rPr>
          <w:rFonts w:ascii="Times New Roman" w:hAnsi="Times New Roman" w:cs="Times New Roman"/>
          <w:i/>
          <w:sz w:val="24"/>
          <w:szCs w:val="24"/>
        </w:rPr>
        <w:t>Senatus Consultum de Cn. Pisone Patre</w:t>
      </w:r>
      <w:r w:rsidR="00497AE1">
        <w:rPr>
          <w:rFonts w:ascii="Times New Roman" w:hAnsi="Times New Roman" w:cs="Times New Roman"/>
          <w:sz w:val="24"/>
          <w:szCs w:val="24"/>
        </w:rPr>
        <w:t xml:space="preserve"> (SCPP), dating shortly after </w:t>
      </w:r>
      <w:r w:rsidR="00F20E0C">
        <w:rPr>
          <w:rFonts w:ascii="Times New Roman" w:hAnsi="Times New Roman" w:cs="Times New Roman"/>
          <w:sz w:val="24"/>
          <w:szCs w:val="24"/>
        </w:rPr>
        <w:t>the composition of the exile epistles,</w:t>
      </w:r>
      <w:r w:rsidR="00497AE1">
        <w:rPr>
          <w:rFonts w:ascii="Times New Roman" w:hAnsi="Times New Roman" w:cs="Times New Roman"/>
          <w:sz w:val="24"/>
          <w:szCs w:val="24"/>
        </w:rPr>
        <w:t xml:space="preserve"> </w:t>
      </w:r>
      <w:r w:rsidR="00524D5E">
        <w:rPr>
          <w:rFonts w:ascii="Times New Roman" w:hAnsi="Times New Roman" w:cs="Times New Roman"/>
          <w:sz w:val="24"/>
          <w:szCs w:val="24"/>
        </w:rPr>
        <w:t xml:space="preserve">provides a concrete </w:t>
      </w:r>
      <w:r w:rsidR="00BA1E8A">
        <w:rPr>
          <w:rFonts w:ascii="Times New Roman" w:hAnsi="Times New Roman" w:cs="Times New Roman"/>
          <w:sz w:val="24"/>
          <w:szCs w:val="24"/>
        </w:rPr>
        <w:t xml:space="preserve">comparative </w:t>
      </w:r>
      <w:r w:rsidR="00524D5E">
        <w:rPr>
          <w:rFonts w:ascii="Times New Roman" w:hAnsi="Times New Roman" w:cs="Times New Roman"/>
          <w:sz w:val="24"/>
          <w:szCs w:val="24"/>
        </w:rPr>
        <w:t xml:space="preserve">example which </w:t>
      </w:r>
      <w:r w:rsidR="00623709">
        <w:rPr>
          <w:rFonts w:ascii="Times New Roman" w:hAnsi="Times New Roman" w:cs="Times New Roman"/>
          <w:sz w:val="24"/>
          <w:szCs w:val="24"/>
        </w:rPr>
        <w:t>details the</w:t>
      </w:r>
      <w:r w:rsidR="00524D5E">
        <w:rPr>
          <w:rFonts w:ascii="Times New Roman" w:hAnsi="Times New Roman" w:cs="Times New Roman"/>
          <w:sz w:val="24"/>
          <w:szCs w:val="24"/>
        </w:rPr>
        <w:t xml:space="preserve"> effectiveness of such practice.  P</w:t>
      </w:r>
      <w:r w:rsidR="00623709">
        <w:rPr>
          <w:rFonts w:ascii="Times New Roman" w:hAnsi="Times New Roman" w:cs="Times New Roman"/>
          <w:sz w:val="24"/>
          <w:szCs w:val="24"/>
        </w:rPr>
        <w:t>iso’s wife Plancina appealed to Livia, who subsequently intervened on her behalf with Tiberius and the senate.  The two texts, I argue, reveal aspects of a larger social</w:t>
      </w:r>
      <w:r w:rsidR="00880348">
        <w:rPr>
          <w:rFonts w:ascii="Times New Roman" w:hAnsi="Times New Roman" w:cs="Times New Roman"/>
          <w:sz w:val="24"/>
          <w:szCs w:val="24"/>
        </w:rPr>
        <w:t xml:space="preserve"> process in which women could exert influence and effect change</w:t>
      </w:r>
      <w:r w:rsidR="00AA7298">
        <w:rPr>
          <w:rFonts w:ascii="Times New Roman" w:hAnsi="Times New Roman" w:cs="Times New Roman"/>
          <w:sz w:val="24"/>
          <w:szCs w:val="24"/>
        </w:rPr>
        <w:t>, and</w:t>
      </w:r>
      <w:r w:rsidR="00524D5E">
        <w:rPr>
          <w:rFonts w:ascii="Times New Roman" w:hAnsi="Times New Roman" w:cs="Times New Roman"/>
          <w:sz w:val="24"/>
          <w:szCs w:val="24"/>
        </w:rPr>
        <w:t xml:space="preserve"> support </w:t>
      </w:r>
      <w:r w:rsidR="007E67D3">
        <w:rPr>
          <w:rFonts w:ascii="Times New Roman" w:hAnsi="Times New Roman" w:cs="Times New Roman"/>
          <w:sz w:val="24"/>
          <w:szCs w:val="24"/>
        </w:rPr>
        <w:t xml:space="preserve">a reevaluation of female </w:t>
      </w:r>
      <w:r w:rsidR="00524D5E">
        <w:rPr>
          <w:rFonts w:ascii="Times New Roman" w:hAnsi="Times New Roman" w:cs="Times New Roman"/>
          <w:sz w:val="24"/>
          <w:szCs w:val="24"/>
        </w:rPr>
        <w:t xml:space="preserve">social </w:t>
      </w:r>
      <w:r w:rsidR="007E67D3">
        <w:rPr>
          <w:rFonts w:ascii="Times New Roman" w:hAnsi="Times New Roman" w:cs="Times New Roman"/>
          <w:sz w:val="24"/>
          <w:szCs w:val="24"/>
        </w:rPr>
        <w:t xml:space="preserve">behavior, formerly biased by modern preconceptions about the role of women in Roman society.  </w:t>
      </w:r>
    </w:p>
    <w:p w:rsidR="00C07684" w:rsidRDefault="005607A4" w:rsidP="00C07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67D3">
        <w:rPr>
          <w:rFonts w:ascii="Times New Roman" w:hAnsi="Times New Roman" w:cs="Times New Roman"/>
          <w:sz w:val="24"/>
          <w:szCs w:val="24"/>
        </w:rPr>
        <w:t xml:space="preserve">Livia is in fact praised by the senate (SCPP 109-120) </w:t>
      </w:r>
      <w:r w:rsidR="00524D5E">
        <w:rPr>
          <w:rFonts w:ascii="Times New Roman" w:hAnsi="Times New Roman" w:cs="Times New Roman"/>
          <w:sz w:val="24"/>
          <w:szCs w:val="24"/>
        </w:rPr>
        <w:t>for her assistance to Plancina</w:t>
      </w:r>
      <w:r w:rsidR="00AA7298">
        <w:rPr>
          <w:rFonts w:ascii="Times New Roman" w:hAnsi="Times New Roman" w:cs="Times New Roman"/>
          <w:sz w:val="24"/>
          <w:szCs w:val="24"/>
        </w:rPr>
        <w:t xml:space="preserve">, who </w:t>
      </w:r>
      <w:r w:rsidR="007E67D3">
        <w:rPr>
          <w:rFonts w:ascii="Times New Roman" w:hAnsi="Times New Roman" w:cs="Times New Roman"/>
          <w:sz w:val="24"/>
          <w:szCs w:val="24"/>
        </w:rPr>
        <w:t>had been implicated and charged in relation to the actions undertaken by her husband concerning the death of Germanicus</w:t>
      </w:r>
      <w:r w:rsidR="00AA7298">
        <w:rPr>
          <w:rFonts w:ascii="Times New Roman" w:hAnsi="Times New Roman" w:cs="Times New Roman"/>
          <w:sz w:val="24"/>
          <w:szCs w:val="24"/>
        </w:rPr>
        <w:t>.  The</w:t>
      </w:r>
      <w:r w:rsidR="002539A4">
        <w:rPr>
          <w:rFonts w:ascii="Times New Roman" w:hAnsi="Times New Roman" w:cs="Times New Roman"/>
          <w:sz w:val="24"/>
          <w:szCs w:val="24"/>
        </w:rPr>
        <w:t xml:space="preserve"> outcome</w:t>
      </w:r>
      <w:r w:rsidR="00AA7298">
        <w:rPr>
          <w:rFonts w:ascii="Times New Roman" w:hAnsi="Times New Roman" w:cs="Times New Roman"/>
          <w:sz w:val="24"/>
          <w:szCs w:val="24"/>
        </w:rPr>
        <w:t>, as detailed in the inscription,</w:t>
      </w:r>
      <w:r w:rsidR="002539A4">
        <w:rPr>
          <w:rFonts w:ascii="Times New Roman" w:hAnsi="Times New Roman" w:cs="Times New Roman"/>
          <w:sz w:val="24"/>
          <w:szCs w:val="24"/>
        </w:rPr>
        <w:t xml:space="preserve"> demonstrates the power and authority </w:t>
      </w:r>
      <w:r w:rsidR="00AA7298">
        <w:rPr>
          <w:rFonts w:ascii="Times New Roman" w:hAnsi="Times New Roman" w:cs="Times New Roman"/>
          <w:sz w:val="24"/>
          <w:szCs w:val="24"/>
        </w:rPr>
        <w:t xml:space="preserve">of </w:t>
      </w:r>
      <w:r w:rsidR="002539A4">
        <w:rPr>
          <w:rFonts w:ascii="Times New Roman" w:hAnsi="Times New Roman" w:cs="Times New Roman"/>
          <w:sz w:val="24"/>
          <w:szCs w:val="24"/>
        </w:rPr>
        <w:t xml:space="preserve">the </w:t>
      </w:r>
      <w:r w:rsidR="002539A4" w:rsidRPr="002539A4">
        <w:rPr>
          <w:rFonts w:ascii="Times New Roman" w:hAnsi="Times New Roman" w:cs="Times New Roman"/>
          <w:i/>
          <w:sz w:val="24"/>
          <w:szCs w:val="24"/>
        </w:rPr>
        <w:t>femina princeps</w:t>
      </w:r>
      <w:r w:rsidR="002539A4">
        <w:rPr>
          <w:rFonts w:ascii="Times New Roman" w:hAnsi="Times New Roman" w:cs="Times New Roman"/>
          <w:sz w:val="24"/>
          <w:szCs w:val="24"/>
        </w:rPr>
        <w:t xml:space="preserve"> (cf. Ov. </w:t>
      </w:r>
      <w:r w:rsidR="002539A4" w:rsidRPr="002539A4">
        <w:rPr>
          <w:rFonts w:ascii="Times New Roman" w:hAnsi="Times New Roman" w:cs="Times New Roman"/>
          <w:i/>
          <w:sz w:val="24"/>
          <w:szCs w:val="24"/>
        </w:rPr>
        <w:t>Tr</w:t>
      </w:r>
      <w:r w:rsidR="002539A4">
        <w:rPr>
          <w:rFonts w:ascii="Times New Roman" w:hAnsi="Times New Roman" w:cs="Times New Roman"/>
          <w:sz w:val="24"/>
          <w:szCs w:val="24"/>
        </w:rPr>
        <w:t xml:space="preserve">. I.6.25, </w:t>
      </w:r>
      <w:r w:rsidR="002539A4" w:rsidRPr="002539A4">
        <w:rPr>
          <w:rFonts w:ascii="Times New Roman" w:hAnsi="Times New Roman" w:cs="Times New Roman"/>
          <w:i/>
          <w:sz w:val="24"/>
          <w:szCs w:val="24"/>
        </w:rPr>
        <w:t>Pont</w:t>
      </w:r>
      <w:r w:rsidR="002539A4">
        <w:rPr>
          <w:rFonts w:ascii="Times New Roman" w:hAnsi="Times New Roman" w:cs="Times New Roman"/>
          <w:sz w:val="24"/>
          <w:szCs w:val="24"/>
        </w:rPr>
        <w:t>. III.1.125)</w:t>
      </w:r>
      <w:r w:rsidR="007E67D3">
        <w:rPr>
          <w:rFonts w:ascii="Times New Roman" w:hAnsi="Times New Roman" w:cs="Times New Roman"/>
          <w:sz w:val="24"/>
          <w:szCs w:val="24"/>
        </w:rPr>
        <w:t>.  I argue Livia’s behavior</w:t>
      </w:r>
      <w:r w:rsidR="00AC7AC7">
        <w:rPr>
          <w:rFonts w:ascii="Times New Roman" w:hAnsi="Times New Roman" w:cs="Times New Roman"/>
          <w:sz w:val="24"/>
          <w:szCs w:val="24"/>
        </w:rPr>
        <w:t xml:space="preserve"> as attested in the SCPP</w:t>
      </w:r>
      <w:r w:rsidR="007E67D3">
        <w:rPr>
          <w:rFonts w:ascii="Times New Roman" w:hAnsi="Times New Roman" w:cs="Times New Roman"/>
          <w:sz w:val="24"/>
          <w:szCs w:val="24"/>
        </w:rPr>
        <w:t xml:space="preserve">- as an intermediary to the </w:t>
      </w:r>
      <w:r w:rsidR="007E67D3" w:rsidRPr="007E67D3">
        <w:rPr>
          <w:rFonts w:ascii="Times New Roman" w:hAnsi="Times New Roman" w:cs="Times New Roman"/>
          <w:i/>
          <w:sz w:val="24"/>
          <w:szCs w:val="24"/>
        </w:rPr>
        <w:t>princeps</w:t>
      </w:r>
      <w:r w:rsidR="007E67D3">
        <w:rPr>
          <w:rFonts w:ascii="Times New Roman" w:hAnsi="Times New Roman" w:cs="Times New Roman"/>
          <w:sz w:val="24"/>
          <w:szCs w:val="24"/>
        </w:rPr>
        <w:t xml:space="preserve"> and focal point for female patronage- was indicative of a broadly recognized social practice and system of patronage which would have offered to Ovid (if carried out properly) some hope for his recall.</w:t>
      </w:r>
      <w:r w:rsidR="00C07684">
        <w:rPr>
          <w:rFonts w:ascii="Times New Roman" w:hAnsi="Times New Roman" w:cs="Times New Roman"/>
          <w:sz w:val="24"/>
          <w:szCs w:val="24"/>
        </w:rPr>
        <w:t xml:space="preserve">  I relate these </w:t>
      </w:r>
      <w:r w:rsidR="00FF5E12">
        <w:rPr>
          <w:rFonts w:ascii="Times New Roman" w:hAnsi="Times New Roman" w:cs="Times New Roman"/>
          <w:sz w:val="24"/>
          <w:szCs w:val="24"/>
        </w:rPr>
        <w:t>texts to</w:t>
      </w:r>
      <w:r w:rsidR="00C07684">
        <w:rPr>
          <w:rFonts w:ascii="Times New Roman" w:hAnsi="Times New Roman" w:cs="Times New Roman"/>
          <w:sz w:val="24"/>
          <w:szCs w:val="24"/>
        </w:rPr>
        <w:t xml:space="preserve"> a </w:t>
      </w:r>
      <w:r w:rsidR="00FF5E12">
        <w:rPr>
          <w:rFonts w:ascii="Times New Roman" w:hAnsi="Times New Roman" w:cs="Times New Roman"/>
          <w:sz w:val="24"/>
          <w:szCs w:val="24"/>
        </w:rPr>
        <w:t xml:space="preserve">broader discussion </w:t>
      </w:r>
      <w:r w:rsidR="00C07684">
        <w:rPr>
          <w:rFonts w:ascii="Times New Roman" w:hAnsi="Times New Roman" w:cs="Times New Roman"/>
          <w:sz w:val="24"/>
          <w:szCs w:val="24"/>
        </w:rPr>
        <w:t xml:space="preserve">of evidence for the social protocols between women and a female patron/client relationship which functioned beside male-based relationships, but also offered moments where male and </w:t>
      </w:r>
      <w:r w:rsidR="00FF5E12">
        <w:rPr>
          <w:rFonts w:ascii="Times New Roman" w:hAnsi="Times New Roman" w:cs="Times New Roman"/>
          <w:sz w:val="24"/>
          <w:szCs w:val="24"/>
        </w:rPr>
        <w:t>female spheres could intersect.  This allowed</w:t>
      </w:r>
      <w:r w:rsidR="00C07684">
        <w:rPr>
          <w:rFonts w:ascii="Times New Roman" w:hAnsi="Times New Roman" w:cs="Times New Roman"/>
          <w:sz w:val="24"/>
          <w:szCs w:val="24"/>
        </w:rPr>
        <w:t xml:space="preserve"> women to directly intervene with their husbands, or male acquaintances, and offered an alternative avenue for patronage and honor of noble families, and subsequent benefits for the client</w:t>
      </w:r>
      <w:r w:rsidR="00FF5E12">
        <w:rPr>
          <w:rFonts w:ascii="Times New Roman" w:hAnsi="Times New Roman" w:cs="Times New Roman"/>
          <w:sz w:val="24"/>
          <w:szCs w:val="24"/>
        </w:rPr>
        <w:t xml:space="preserve"> and her family</w:t>
      </w:r>
      <w:r w:rsidR="00C076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E67D3" w:rsidRDefault="003177F6" w:rsidP="007E67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5CDC">
        <w:rPr>
          <w:rFonts w:ascii="Times New Roman" w:hAnsi="Times New Roman" w:cs="Times New Roman"/>
          <w:sz w:val="24"/>
          <w:szCs w:val="24"/>
        </w:rPr>
        <w:t xml:space="preserve">In this light I also consider Ovid’s presentation of Marcia, the wife of Paullus Fabius Maximus, in </w:t>
      </w:r>
      <w:r w:rsidR="00385CDC" w:rsidRPr="007A5A38">
        <w:rPr>
          <w:rFonts w:ascii="Times New Roman" w:hAnsi="Times New Roman" w:cs="Times New Roman"/>
          <w:i/>
          <w:sz w:val="24"/>
          <w:szCs w:val="24"/>
        </w:rPr>
        <w:t>Pont</w:t>
      </w:r>
      <w:r w:rsidR="00385CDC">
        <w:rPr>
          <w:rFonts w:ascii="Times New Roman" w:hAnsi="Times New Roman" w:cs="Times New Roman"/>
          <w:sz w:val="24"/>
          <w:szCs w:val="24"/>
        </w:rPr>
        <w:t>. III.1</w:t>
      </w:r>
      <w:r w:rsidR="002539A4">
        <w:rPr>
          <w:rFonts w:ascii="Times New Roman" w:hAnsi="Times New Roman" w:cs="Times New Roman"/>
          <w:sz w:val="24"/>
          <w:szCs w:val="24"/>
        </w:rPr>
        <w:t>.75-84</w:t>
      </w:r>
      <w:r w:rsidR="00385CDC">
        <w:rPr>
          <w:rFonts w:ascii="Times New Roman" w:hAnsi="Times New Roman" w:cs="Times New Roman"/>
          <w:sz w:val="24"/>
          <w:szCs w:val="24"/>
        </w:rPr>
        <w:t xml:space="preserve"> and elsewhere in the Ovidian corpus.  </w:t>
      </w:r>
      <w:r w:rsidR="007E67D3">
        <w:rPr>
          <w:rFonts w:ascii="Times New Roman" w:hAnsi="Times New Roman" w:cs="Times New Roman"/>
          <w:sz w:val="24"/>
          <w:szCs w:val="24"/>
        </w:rPr>
        <w:t>Ovid also recognizes that his wife had worked to foste</w:t>
      </w:r>
      <w:r w:rsidR="00EE61CB">
        <w:rPr>
          <w:rFonts w:ascii="Times New Roman" w:hAnsi="Times New Roman" w:cs="Times New Roman"/>
          <w:sz w:val="24"/>
          <w:szCs w:val="24"/>
        </w:rPr>
        <w:t>r a relationship with the Fabii (or held one, cf. Helzle {1989})</w:t>
      </w:r>
      <w:r w:rsidR="0085144C">
        <w:rPr>
          <w:rFonts w:ascii="Times New Roman" w:hAnsi="Times New Roman" w:cs="Times New Roman"/>
          <w:sz w:val="24"/>
          <w:szCs w:val="24"/>
        </w:rPr>
        <w:t xml:space="preserve"> and expresses the hope that continued reverence and honors would result in Marcia’s willingness to intercede with her husband</w:t>
      </w:r>
      <w:r w:rsidR="00C0768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07684" w:rsidRDefault="008D2550" w:rsidP="00C07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conclude with a discussion of Ovid’s characterization of Livia in the poem.  </w:t>
      </w:r>
      <w:r w:rsidR="00016FFF">
        <w:rPr>
          <w:rFonts w:ascii="Times New Roman" w:hAnsi="Times New Roman" w:cs="Times New Roman"/>
          <w:sz w:val="24"/>
          <w:szCs w:val="24"/>
        </w:rPr>
        <w:t>Though Ovid’s presentation of the scene as such is not unbelievable</w:t>
      </w:r>
      <w:r w:rsidR="007E67D3">
        <w:rPr>
          <w:rFonts w:ascii="Times New Roman" w:hAnsi="Times New Roman" w:cs="Times New Roman"/>
          <w:sz w:val="24"/>
          <w:szCs w:val="24"/>
        </w:rPr>
        <w:t>, Ovid</w:t>
      </w:r>
      <w:r w:rsidR="00016FFF">
        <w:rPr>
          <w:rFonts w:ascii="Times New Roman" w:hAnsi="Times New Roman" w:cs="Times New Roman"/>
          <w:sz w:val="24"/>
          <w:szCs w:val="24"/>
        </w:rPr>
        <w:t xml:space="preserve"> depicts Livia</w:t>
      </w:r>
      <w:r w:rsidR="007E67D3">
        <w:rPr>
          <w:rFonts w:ascii="Times New Roman" w:hAnsi="Times New Roman" w:cs="Times New Roman"/>
          <w:sz w:val="24"/>
          <w:szCs w:val="24"/>
        </w:rPr>
        <w:t xml:space="preserve"> in association with negative female figures from mythology (Scylla, Medea, Circe, Cytemnestra, </w:t>
      </w:r>
      <w:r w:rsidR="007E67D3" w:rsidRPr="00E06529">
        <w:rPr>
          <w:rFonts w:ascii="Times New Roman" w:hAnsi="Times New Roman" w:cs="Times New Roman"/>
          <w:sz w:val="24"/>
          <w:szCs w:val="24"/>
        </w:rPr>
        <w:t>et al</w:t>
      </w:r>
      <w:r w:rsidR="007E67D3">
        <w:rPr>
          <w:rFonts w:ascii="Times New Roman" w:hAnsi="Times New Roman" w:cs="Times New Roman"/>
          <w:sz w:val="24"/>
          <w:szCs w:val="24"/>
        </w:rPr>
        <w:t>.),</w:t>
      </w:r>
      <w:r w:rsidR="00016FFF">
        <w:rPr>
          <w:rFonts w:ascii="Times New Roman" w:hAnsi="Times New Roman" w:cs="Times New Roman"/>
          <w:sz w:val="24"/>
          <w:szCs w:val="24"/>
        </w:rPr>
        <w:t xml:space="preserve"> </w:t>
      </w:r>
      <w:r w:rsidR="00270B8C">
        <w:rPr>
          <w:rFonts w:ascii="Times New Roman" w:hAnsi="Times New Roman" w:cs="Times New Roman"/>
          <w:sz w:val="24"/>
          <w:szCs w:val="24"/>
        </w:rPr>
        <w:t xml:space="preserve">which, </w:t>
      </w:r>
      <w:r w:rsidR="00016FFF">
        <w:rPr>
          <w:rFonts w:ascii="Times New Roman" w:hAnsi="Times New Roman" w:cs="Times New Roman"/>
          <w:sz w:val="24"/>
          <w:szCs w:val="24"/>
        </w:rPr>
        <w:t>as Patricia Johnson (199</w:t>
      </w:r>
      <w:r w:rsidR="007E67D3">
        <w:rPr>
          <w:rFonts w:ascii="Times New Roman" w:hAnsi="Times New Roman" w:cs="Times New Roman"/>
          <w:sz w:val="24"/>
          <w:szCs w:val="24"/>
        </w:rPr>
        <w:t>7</w:t>
      </w:r>
      <w:r w:rsidR="00016FFF">
        <w:rPr>
          <w:rFonts w:ascii="Times New Roman" w:hAnsi="Times New Roman" w:cs="Times New Roman"/>
          <w:sz w:val="24"/>
          <w:szCs w:val="24"/>
        </w:rPr>
        <w:t>) has noted, would probably have done little to help his case.</w:t>
      </w:r>
      <w:r w:rsidR="00C07684">
        <w:rPr>
          <w:rFonts w:ascii="Times New Roman" w:hAnsi="Times New Roman" w:cs="Times New Roman"/>
          <w:sz w:val="24"/>
          <w:szCs w:val="24"/>
        </w:rPr>
        <w:t xml:space="preserve">  I question how such </w:t>
      </w:r>
      <w:r w:rsidR="00F648B9">
        <w:rPr>
          <w:rFonts w:ascii="Times New Roman" w:hAnsi="Times New Roman" w:cs="Times New Roman"/>
          <w:sz w:val="24"/>
          <w:szCs w:val="24"/>
        </w:rPr>
        <w:t xml:space="preserve">a </w:t>
      </w:r>
      <w:r w:rsidR="00C07684">
        <w:rPr>
          <w:rFonts w:ascii="Times New Roman" w:hAnsi="Times New Roman" w:cs="Times New Roman"/>
          <w:sz w:val="24"/>
          <w:szCs w:val="24"/>
        </w:rPr>
        <w:t>representation would hav</w:t>
      </w:r>
      <w:r w:rsidR="00270B8C">
        <w:rPr>
          <w:rFonts w:ascii="Times New Roman" w:hAnsi="Times New Roman" w:cs="Times New Roman"/>
          <w:sz w:val="24"/>
          <w:szCs w:val="24"/>
        </w:rPr>
        <w:t xml:space="preserve">e affected the poem’s reception, </w:t>
      </w:r>
      <w:r w:rsidR="00C07684">
        <w:rPr>
          <w:rFonts w:ascii="Times New Roman" w:hAnsi="Times New Roman" w:cs="Times New Roman"/>
          <w:sz w:val="24"/>
          <w:szCs w:val="24"/>
        </w:rPr>
        <w:t xml:space="preserve">how such a depiction is consistent with </w:t>
      </w:r>
      <w:r w:rsidR="00B15D2B">
        <w:rPr>
          <w:rFonts w:ascii="Times New Roman" w:hAnsi="Times New Roman" w:cs="Times New Roman"/>
          <w:sz w:val="24"/>
          <w:szCs w:val="24"/>
        </w:rPr>
        <w:t xml:space="preserve">Ovidian </w:t>
      </w:r>
      <w:r w:rsidR="00C07684">
        <w:rPr>
          <w:rFonts w:ascii="Times New Roman" w:hAnsi="Times New Roman" w:cs="Times New Roman"/>
          <w:sz w:val="24"/>
          <w:szCs w:val="24"/>
        </w:rPr>
        <w:t xml:space="preserve">representations of Augustus, and we might interpret Ovid </w:t>
      </w:r>
      <w:r w:rsidR="00270B8C">
        <w:rPr>
          <w:rFonts w:ascii="Times New Roman" w:hAnsi="Times New Roman" w:cs="Times New Roman"/>
          <w:sz w:val="24"/>
          <w:szCs w:val="24"/>
        </w:rPr>
        <w:t xml:space="preserve">as </w:t>
      </w:r>
      <w:r w:rsidR="00C07684">
        <w:rPr>
          <w:rFonts w:ascii="Times New Roman" w:hAnsi="Times New Roman" w:cs="Times New Roman"/>
          <w:sz w:val="24"/>
          <w:szCs w:val="24"/>
        </w:rPr>
        <w:t xml:space="preserve">expressing </w:t>
      </w:r>
      <w:r w:rsidR="007A5A38">
        <w:rPr>
          <w:rFonts w:ascii="Times New Roman" w:hAnsi="Times New Roman" w:cs="Times New Roman"/>
          <w:sz w:val="24"/>
          <w:szCs w:val="24"/>
        </w:rPr>
        <w:t>his</w:t>
      </w:r>
      <w:r w:rsidR="00C07684">
        <w:rPr>
          <w:rFonts w:ascii="Times New Roman" w:hAnsi="Times New Roman" w:cs="Times New Roman"/>
          <w:sz w:val="24"/>
          <w:szCs w:val="24"/>
        </w:rPr>
        <w:t xml:space="preserve"> hostility and frustration with the entire house, not only the </w:t>
      </w:r>
      <w:r w:rsidR="00C07684" w:rsidRPr="00D84DDC">
        <w:rPr>
          <w:rFonts w:ascii="Times New Roman" w:hAnsi="Times New Roman" w:cs="Times New Roman"/>
          <w:i/>
          <w:sz w:val="24"/>
          <w:szCs w:val="24"/>
        </w:rPr>
        <w:t>princeps</w:t>
      </w:r>
      <w:r w:rsidR="00C07684">
        <w:rPr>
          <w:rFonts w:ascii="Times New Roman" w:hAnsi="Times New Roman" w:cs="Times New Roman"/>
          <w:sz w:val="24"/>
          <w:szCs w:val="24"/>
        </w:rPr>
        <w:t xml:space="preserve"> himself.  </w:t>
      </w:r>
    </w:p>
    <w:p w:rsidR="000649C3" w:rsidRDefault="008D64C1" w:rsidP="00C076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E61CB" w:rsidRDefault="00EE61CB" w:rsidP="004B5544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Helzle, M. (1989) “Mr. and Mrs. Ovid,” </w:t>
      </w:r>
      <w:r w:rsidRPr="00EE61CB">
        <w:rPr>
          <w:rFonts w:ascii="Times New Roman" w:hAnsi="Times New Roman" w:cs="Times New Roman"/>
          <w:i/>
          <w:sz w:val="24"/>
          <w:szCs w:val="24"/>
        </w:rPr>
        <w:t>Greece and Rome</w:t>
      </w:r>
      <w:r>
        <w:rPr>
          <w:rFonts w:ascii="Times New Roman" w:hAnsi="Times New Roman" w:cs="Times New Roman"/>
          <w:sz w:val="24"/>
          <w:szCs w:val="24"/>
        </w:rPr>
        <w:t xml:space="preserve"> 36: 183-193.</w:t>
      </w:r>
    </w:p>
    <w:p w:rsidR="000649C3" w:rsidRDefault="000649C3" w:rsidP="004B5544">
      <w:pPr>
        <w:pStyle w:val="BodyText"/>
        <w:spacing w:after="0" w:line="360" w:lineRule="auto"/>
      </w:pPr>
      <w:r>
        <w:t>Johnson, P.J. (1997</w:t>
      </w:r>
      <w:r w:rsidR="00EE61CB">
        <w:t xml:space="preserve">) </w:t>
      </w:r>
      <w:r>
        <w:t xml:space="preserve">“Ovid’s Livia in Exile,” </w:t>
      </w:r>
      <w:r w:rsidRPr="00C93378">
        <w:rPr>
          <w:i/>
        </w:rPr>
        <w:t>CW</w:t>
      </w:r>
      <w:r>
        <w:t xml:space="preserve"> 90.6: 403-420.</w:t>
      </w:r>
    </w:p>
    <w:p w:rsidR="000649C3" w:rsidRDefault="000649C3" w:rsidP="004B5544">
      <w:pPr>
        <w:pStyle w:val="BodyText"/>
        <w:spacing w:after="0" w:line="360" w:lineRule="auto"/>
      </w:pPr>
      <w:r>
        <w:t xml:space="preserve">Potter, D.S. and C. Damon (1999), trans. “The </w:t>
      </w:r>
      <w:r>
        <w:rPr>
          <w:i/>
        </w:rPr>
        <w:t>S</w:t>
      </w:r>
      <w:r w:rsidRPr="00A122B9">
        <w:rPr>
          <w:i/>
        </w:rPr>
        <w:t xml:space="preserve">enatus </w:t>
      </w:r>
      <w:r>
        <w:rPr>
          <w:i/>
        </w:rPr>
        <w:t>C</w:t>
      </w:r>
      <w:r w:rsidRPr="00A122B9">
        <w:rPr>
          <w:i/>
        </w:rPr>
        <w:t xml:space="preserve">onsultum de Cn. Pisone </w:t>
      </w:r>
      <w:r>
        <w:rPr>
          <w:i/>
        </w:rPr>
        <w:t>P</w:t>
      </w:r>
      <w:r w:rsidRPr="00A122B9">
        <w:rPr>
          <w:i/>
        </w:rPr>
        <w:t>atre</w:t>
      </w:r>
      <w:r>
        <w:t xml:space="preserve">,” </w:t>
      </w:r>
      <w:r>
        <w:tab/>
      </w:r>
      <w:r w:rsidRPr="002D08E8">
        <w:rPr>
          <w:i/>
        </w:rPr>
        <w:t>AJPh</w:t>
      </w:r>
      <w:r>
        <w:t xml:space="preserve"> 120: 13-42.</w:t>
      </w:r>
    </w:p>
    <w:p w:rsidR="000649C3" w:rsidRPr="00CC6173" w:rsidRDefault="000649C3" w:rsidP="00497A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649C3" w:rsidRPr="00CC6173" w:rsidSect="004F0C2F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CC6173"/>
    <w:rsid w:val="00016FFF"/>
    <w:rsid w:val="000649C3"/>
    <w:rsid w:val="000A0444"/>
    <w:rsid w:val="001C7CBC"/>
    <w:rsid w:val="002539A4"/>
    <w:rsid w:val="00270B8C"/>
    <w:rsid w:val="002C25C9"/>
    <w:rsid w:val="003177F6"/>
    <w:rsid w:val="003407F4"/>
    <w:rsid w:val="00385CDC"/>
    <w:rsid w:val="003A18BA"/>
    <w:rsid w:val="003A2491"/>
    <w:rsid w:val="003D4C43"/>
    <w:rsid w:val="00456005"/>
    <w:rsid w:val="004612BB"/>
    <w:rsid w:val="00497AE1"/>
    <w:rsid w:val="004B5544"/>
    <w:rsid w:val="004F0C2F"/>
    <w:rsid w:val="00505FB0"/>
    <w:rsid w:val="00524D5E"/>
    <w:rsid w:val="00555400"/>
    <w:rsid w:val="005607A4"/>
    <w:rsid w:val="005D6B9E"/>
    <w:rsid w:val="00623709"/>
    <w:rsid w:val="00642882"/>
    <w:rsid w:val="006F57D4"/>
    <w:rsid w:val="00766761"/>
    <w:rsid w:val="007A5A38"/>
    <w:rsid w:val="007E67D3"/>
    <w:rsid w:val="008033D3"/>
    <w:rsid w:val="0085144C"/>
    <w:rsid w:val="00880348"/>
    <w:rsid w:val="008D2550"/>
    <w:rsid w:val="008D64C1"/>
    <w:rsid w:val="00916763"/>
    <w:rsid w:val="009D1AFD"/>
    <w:rsid w:val="00A76357"/>
    <w:rsid w:val="00AA7298"/>
    <w:rsid w:val="00AC7AC7"/>
    <w:rsid w:val="00B15D2B"/>
    <w:rsid w:val="00BA1E8A"/>
    <w:rsid w:val="00C07684"/>
    <w:rsid w:val="00CC6173"/>
    <w:rsid w:val="00D36C54"/>
    <w:rsid w:val="00D84DDC"/>
    <w:rsid w:val="00DF4225"/>
    <w:rsid w:val="00E06529"/>
    <w:rsid w:val="00E17E85"/>
    <w:rsid w:val="00E34419"/>
    <w:rsid w:val="00EE61CB"/>
    <w:rsid w:val="00F10C3C"/>
    <w:rsid w:val="00F20E0C"/>
    <w:rsid w:val="00F648B9"/>
    <w:rsid w:val="00FF5E12"/>
  </w:rsids>
  <m:mathPr>
    <m:mathFont m:val="SymbolGreekMetU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F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AE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649C3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64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592</Words>
  <Characters>3202</Characters>
  <Application>Microsoft Macintosh Word</Application>
  <DocSecurity>0</DocSecurity>
  <Lines>52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Information and Instructional Technologies</cp:lastModifiedBy>
  <cp:revision>52</cp:revision>
  <cp:lastPrinted>2010-09-24T20:57:00Z</cp:lastPrinted>
  <dcterms:created xsi:type="dcterms:W3CDTF">2010-09-23T14:50:00Z</dcterms:created>
  <dcterms:modified xsi:type="dcterms:W3CDTF">2010-09-28T23:11:00Z</dcterms:modified>
  <cp:category/>
</cp:coreProperties>
</file>