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14" w:rsidRDefault="003346E5" w:rsidP="003346E5">
      <w:pPr>
        <w:pStyle w:val="Header"/>
        <w:jc w:val="center"/>
        <w:rPr>
          <w:rFonts w:ascii="Times New Roman" w:hAnsi="Times New Roman"/>
        </w:rPr>
      </w:pPr>
      <w:r w:rsidRPr="00785892">
        <w:rPr>
          <w:rFonts w:ascii="Times New Roman" w:hAnsi="Times New Roman"/>
        </w:rPr>
        <w:t xml:space="preserve">Municipal Vitality in Late Antique North Africa: </w:t>
      </w:r>
    </w:p>
    <w:p w:rsidR="003346E5" w:rsidRPr="00785892" w:rsidRDefault="003346E5" w:rsidP="003346E5">
      <w:pPr>
        <w:pStyle w:val="Header"/>
        <w:jc w:val="center"/>
        <w:rPr>
          <w:rFonts w:ascii="Times New Roman" w:hAnsi="Times New Roman"/>
        </w:rPr>
      </w:pPr>
      <w:r w:rsidRPr="00785892">
        <w:rPr>
          <w:rFonts w:ascii="Times New Roman" w:hAnsi="Times New Roman"/>
        </w:rPr>
        <w:t>Epigraphic Evidence for Public Munificence and Urban Growth</w:t>
      </w:r>
    </w:p>
    <w:p w:rsidR="003346E5" w:rsidRDefault="003346E5" w:rsidP="006670AB">
      <w:pPr>
        <w:ind w:firstLine="720"/>
        <w:rPr>
          <w:rFonts w:ascii="Times New Roman" w:hAnsi="Times New Roman"/>
        </w:rPr>
      </w:pPr>
    </w:p>
    <w:p w:rsidR="006670AB" w:rsidRPr="000107F8" w:rsidRDefault="006670AB" w:rsidP="006670AB">
      <w:pPr>
        <w:ind w:firstLine="720"/>
        <w:rPr>
          <w:rFonts w:ascii="Times New Roman" w:hAnsi="Times New Roman"/>
        </w:rPr>
      </w:pPr>
      <w:r w:rsidRPr="000107F8">
        <w:rPr>
          <w:rFonts w:ascii="Times New Roman" w:hAnsi="Times New Roman"/>
        </w:rPr>
        <w:t>When he publis</w:t>
      </w:r>
      <w:bookmarkStart w:id="0" w:name="_GoBack"/>
      <w:bookmarkEnd w:id="0"/>
      <w:r w:rsidRPr="000107F8">
        <w:rPr>
          <w:rFonts w:ascii="Times New Roman" w:hAnsi="Times New Roman"/>
        </w:rPr>
        <w:t xml:space="preserve">hed his </w:t>
      </w:r>
      <w:r w:rsidRPr="000107F8">
        <w:rPr>
          <w:rFonts w:ascii="Times New Roman" w:hAnsi="Times New Roman"/>
          <w:i/>
        </w:rPr>
        <w:t>Decline and Fall</w:t>
      </w:r>
      <w:r w:rsidRPr="000107F8">
        <w:rPr>
          <w:rFonts w:ascii="Times New Roman" w:hAnsi="Times New Roman"/>
        </w:rPr>
        <w:t xml:space="preserve"> </w:t>
      </w:r>
      <w:r w:rsidRPr="000107F8">
        <w:rPr>
          <w:rFonts w:ascii="Times New Roman" w:hAnsi="Times New Roman"/>
          <w:i/>
        </w:rPr>
        <w:t>of the Roman Empire</w:t>
      </w:r>
      <w:r w:rsidRPr="000107F8">
        <w:rPr>
          <w:rFonts w:ascii="Times New Roman" w:hAnsi="Times New Roman"/>
        </w:rPr>
        <w:t xml:space="preserve"> in 1776, Sir Edward Gibbon doomed the period of late antiquity to obscurity for nearly two centuries.  According to Gibbon, the long peace of the “Good Emperors” unmanned the Roman world and sapped its intellectual vigor.</w:t>
      </w:r>
      <w:r w:rsidRPr="000107F8">
        <w:rPr>
          <w:rStyle w:val="FootnoteReference"/>
          <w:rFonts w:ascii="Times New Roman" w:hAnsi="Times New Roman"/>
        </w:rPr>
        <w:t xml:space="preserve"> </w:t>
      </w:r>
      <w:r w:rsidRPr="000107F8">
        <w:rPr>
          <w:rStyle w:val="FootnoteReference"/>
          <w:rFonts w:ascii="Times New Roman" w:hAnsi="Times New Roman"/>
        </w:rPr>
        <w:footnoteReference w:id="1"/>
      </w:r>
      <w:r w:rsidRPr="000107F8">
        <w:rPr>
          <w:rFonts w:ascii="Times New Roman" w:hAnsi="Times New Roman"/>
        </w:rPr>
        <w:t xml:space="preserve">  Widely considered a dark and dreary interlude between the classical and medieval periods, late antiquity was largely neglected by ancient historians, philologists, and archaeologists alike.  But in the mid-20</w:t>
      </w:r>
      <w:r w:rsidRPr="000107F8">
        <w:rPr>
          <w:rFonts w:ascii="Times New Roman" w:hAnsi="Times New Roman"/>
          <w:vertAlign w:val="superscript"/>
        </w:rPr>
        <w:t>th</w:t>
      </w:r>
      <w:r w:rsidRPr="000107F8">
        <w:rPr>
          <w:rFonts w:ascii="Times New Roman" w:hAnsi="Times New Roman"/>
        </w:rPr>
        <w:t xml:space="preserve"> century, scholars like A. H. M. Jones and Peter Brown demonstrated the richness of late Roman culture and the value of studying it closely.</w:t>
      </w:r>
      <w:r w:rsidRPr="000107F8">
        <w:rPr>
          <w:rStyle w:val="FootnoteReference"/>
          <w:rFonts w:ascii="Times New Roman" w:hAnsi="Times New Roman"/>
        </w:rPr>
        <w:footnoteReference w:id="2"/>
      </w:r>
      <w:r w:rsidRPr="000107F8">
        <w:rPr>
          <w:rFonts w:ascii="Times New Roman" w:hAnsi="Times New Roman"/>
        </w:rPr>
        <w:t xml:space="preserve">  Currently, the historical significance of the late antique period is generally accepted and its study has become more popular.</w:t>
      </w:r>
      <w:r w:rsidRPr="000107F8">
        <w:rPr>
          <w:rStyle w:val="FootnoteReference"/>
          <w:rFonts w:ascii="Times New Roman" w:hAnsi="Times New Roman"/>
        </w:rPr>
        <w:footnoteReference w:id="3"/>
      </w:r>
      <w:r w:rsidRPr="000107F8">
        <w:rPr>
          <w:rFonts w:ascii="Times New Roman" w:hAnsi="Times New Roman"/>
        </w:rPr>
        <w:t xml:space="preserve"> </w:t>
      </w:r>
    </w:p>
    <w:p w:rsidR="00AC1B22" w:rsidRPr="000107F8" w:rsidRDefault="006670AB" w:rsidP="006670AB">
      <w:pPr>
        <w:ind w:firstLine="720"/>
        <w:rPr>
          <w:rFonts w:ascii="Times New Roman" w:hAnsi="Times New Roman"/>
        </w:rPr>
      </w:pPr>
      <w:r w:rsidRPr="000107F8">
        <w:rPr>
          <w:rFonts w:ascii="Times New Roman" w:hAnsi="Times New Roman"/>
        </w:rPr>
        <w:t>It is no longer appropriate to view the late antique period as one of widespread decay or universal moral, economic, and military decline.  There is no doubt, however, that the Roman Empire of the fourth century was radically different from that of the Julio-Claudians or of the Antonines.  The anarchy of the third century had shaken the empire to its core.  Yet in recent years, studies have shown that</w:t>
      </w:r>
      <w:r w:rsidR="00B90DDB" w:rsidRPr="000107F8">
        <w:rPr>
          <w:rFonts w:ascii="Times New Roman" w:hAnsi="Times New Roman"/>
        </w:rPr>
        <w:t xml:space="preserve"> the provinces of</w:t>
      </w:r>
      <w:r w:rsidRPr="000107F8">
        <w:rPr>
          <w:rFonts w:ascii="Times New Roman" w:hAnsi="Times New Roman"/>
        </w:rPr>
        <w:t xml:space="preserve"> North Africa emerged from the third century crises on stronger footing than other regions of the</w:t>
      </w:r>
      <w:r w:rsidR="00B90DDB" w:rsidRPr="000107F8">
        <w:rPr>
          <w:rFonts w:ascii="Times New Roman" w:hAnsi="Times New Roman"/>
        </w:rPr>
        <w:t xml:space="preserve"> Roman</w:t>
      </w:r>
      <w:r w:rsidR="00EE08FF">
        <w:rPr>
          <w:rFonts w:ascii="Times New Roman" w:hAnsi="Times New Roman"/>
        </w:rPr>
        <w:t xml:space="preserve"> E</w:t>
      </w:r>
      <w:r w:rsidRPr="000107F8">
        <w:rPr>
          <w:rFonts w:ascii="Times New Roman" w:hAnsi="Times New Roman"/>
        </w:rPr>
        <w:t>mpire.</w:t>
      </w:r>
      <w:r w:rsidRPr="000107F8">
        <w:rPr>
          <w:rStyle w:val="FootnoteReference"/>
          <w:rFonts w:ascii="Times New Roman" w:hAnsi="Times New Roman"/>
        </w:rPr>
        <w:footnoteReference w:id="4"/>
      </w:r>
      <w:r w:rsidRPr="000107F8">
        <w:rPr>
          <w:rFonts w:ascii="Times New Roman" w:hAnsi="Times New Roman"/>
        </w:rPr>
        <w:t xml:space="preserve">  Its municipal governments remained intact and active, and large cities continued to thrive and even expand.  Epigraphic evidence for increased public building activity during the final decades of the fourth century indicates that the Valentinian</w:t>
      </w:r>
      <w:r w:rsidR="009258C2" w:rsidRPr="000107F8">
        <w:rPr>
          <w:rFonts w:ascii="Times New Roman" w:hAnsi="Times New Roman"/>
        </w:rPr>
        <w:t>ic</w:t>
      </w:r>
      <w:r w:rsidRPr="000107F8">
        <w:rPr>
          <w:rFonts w:ascii="Times New Roman" w:hAnsi="Times New Roman"/>
        </w:rPr>
        <w:t xml:space="preserve"> period (364-392) was one of particular urban renewal in North Africa.  Several factors contributed to the increased activity: most importantly, the return of previously-confiscated revenues to provincial cities, and legislation easing the burdens of the curial class.  We must not underestimate, however, the influence of the emperors themselves.  The emperor Julian (r. 361-363) took great care to preserve and bolster the city councils of the empire</w:t>
      </w:r>
      <w:r w:rsidR="00EF319D" w:rsidRPr="000107F8">
        <w:rPr>
          <w:rFonts w:ascii="Times New Roman" w:hAnsi="Times New Roman"/>
        </w:rPr>
        <w:t>,</w:t>
      </w:r>
      <w:r w:rsidR="009258C2" w:rsidRPr="000107F8">
        <w:rPr>
          <w:rFonts w:ascii="Times New Roman" w:hAnsi="Times New Roman"/>
        </w:rPr>
        <w:t xml:space="preserve"> </w:t>
      </w:r>
      <w:r w:rsidR="00D97BF7" w:rsidRPr="000107F8">
        <w:rPr>
          <w:rFonts w:ascii="Times New Roman" w:hAnsi="Times New Roman"/>
        </w:rPr>
        <w:t xml:space="preserve">the organizations primarily </w:t>
      </w:r>
      <w:r w:rsidR="00EF319D" w:rsidRPr="000107F8">
        <w:rPr>
          <w:rFonts w:ascii="Times New Roman" w:hAnsi="Times New Roman"/>
        </w:rPr>
        <w:t>responsible</w:t>
      </w:r>
      <w:r w:rsidR="00D97BF7" w:rsidRPr="000107F8">
        <w:rPr>
          <w:rFonts w:ascii="Times New Roman" w:hAnsi="Times New Roman"/>
        </w:rPr>
        <w:t xml:space="preserve"> for the funding and management of public building projects</w:t>
      </w:r>
      <w:r w:rsidRPr="000107F8">
        <w:rPr>
          <w:rFonts w:ascii="Times New Roman" w:hAnsi="Times New Roman"/>
        </w:rPr>
        <w:t>.  The Pannonian-born brothers, Valentinian and Valens (r. 364-378), were especially attuned to the needs of provincials, and their edicts express a real concern for the quality of life in the provinces.</w:t>
      </w:r>
      <w:r w:rsidR="00AC1B22" w:rsidRPr="000107F8">
        <w:rPr>
          <w:rFonts w:ascii="Times New Roman" w:hAnsi="Times New Roman"/>
        </w:rPr>
        <w:t xml:space="preserve"> </w:t>
      </w:r>
      <w:r w:rsidRPr="000107F8">
        <w:rPr>
          <w:rFonts w:ascii="Times New Roman" w:hAnsi="Times New Roman"/>
        </w:rPr>
        <w:t xml:space="preserve"> Rescripts in the </w:t>
      </w:r>
      <w:r w:rsidRPr="000107F8">
        <w:rPr>
          <w:rFonts w:ascii="Times New Roman" w:hAnsi="Times New Roman"/>
          <w:i/>
        </w:rPr>
        <w:t>Codex Theodosianus</w:t>
      </w:r>
      <w:r w:rsidRPr="000107F8">
        <w:rPr>
          <w:rFonts w:ascii="Times New Roman" w:hAnsi="Times New Roman"/>
        </w:rPr>
        <w:t xml:space="preserve"> demonstrate the continued interest of </w:t>
      </w:r>
      <w:r w:rsidR="00AC1B22" w:rsidRPr="000107F8">
        <w:rPr>
          <w:rFonts w:ascii="Times New Roman" w:hAnsi="Times New Roman"/>
        </w:rPr>
        <w:t>Valentinian’s</w:t>
      </w:r>
      <w:r w:rsidRPr="000107F8">
        <w:rPr>
          <w:rFonts w:ascii="Times New Roman" w:hAnsi="Times New Roman"/>
        </w:rPr>
        <w:t xml:space="preserve"> dynasty in preserving the infrastructure of provincial cities. </w:t>
      </w:r>
    </w:p>
    <w:p w:rsidR="006670AB" w:rsidRPr="000107F8" w:rsidRDefault="006670AB" w:rsidP="006670AB">
      <w:pPr>
        <w:ind w:firstLine="720"/>
        <w:rPr>
          <w:rFonts w:ascii="Times New Roman" w:hAnsi="Times New Roman"/>
        </w:rPr>
      </w:pPr>
      <w:r w:rsidRPr="000107F8">
        <w:rPr>
          <w:rFonts w:ascii="Times New Roman" w:hAnsi="Times New Roman"/>
        </w:rPr>
        <w:t>It has been the traditional view that cities of the later Roman Empire were stifled by an overbearing imperial government, and having lost their previous autonomy, suffered a steady decline into the Middle Ages.  On the contrary, the</w:t>
      </w:r>
      <w:r w:rsidR="00AC1B22" w:rsidRPr="000107F8">
        <w:rPr>
          <w:rFonts w:ascii="Times New Roman" w:hAnsi="Times New Roman"/>
        </w:rPr>
        <w:t xml:space="preserve"> imperial government of the fourth century</w:t>
      </w:r>
      <w:r w:rsidRPr="000107F8">
        <w:rPr>
          <w:rFonts w:ascii="Times New Roman" w:hAnsi="Times New Roman"/>
        </w:rPr>
        <w:t xml:space="preserve"> supported the activities of local municipal councils and encouraged urban growth and renewal.  The thriving cities of fourth-century North Africa are themselves evidence of this fact. </w:t>
      </w:r>
    </w:p>
    <w:p w:rsidR="006670AB" w:rsidRPr="000107F8" w:rsidRDefault="006670AB" w:rsidP="006670AB">
      <w:pPr>
        <w:ind w:firstLine="720"/>
        <w:rPr>
          <w:rFonts w:ascii="Times New Roman" w:hAnsi="Times New Roman"/>
        </w:rPr>
      </w:pPr>
    </w:p>
    <w:p w:rsidR="00DB6CC5" w:rsidRPr="0093717C" w:rsidRDefault="0093717C" w:rsidP="006670AB">
      <w:pPr>
        <w:rPr>
          <w:rFonts w:asciiTheme="majorHAnsi" w:hAnsiTheme="majorHAnsi"/>
          <w:szCs w:val="24"/>
          <w:u w:val="single"/>
        </w:rPr>
      </w:pPr>
      <w:r w:rsidRPr="0093717C">
        <w:rPr>
          <w:rFonts w:asciiTheme="majorHAnsi" w:hAnsiTheme="majorHAnsi"/>
          <w:szCs w:val="24"/>
          <w:u w:val="single"/>
        </w:rPr>
        <w:t>Works Cited</w:t>
      </w:r>
    </w:p>
    <w:p w:rsidR="0093717C" w:rsidRDefault="0093717C" w:rsidP="0093717C">
      <w:pPr>
        <w:spacing w:after="240" w:line="240" w:lineRule="auto"/>
        <w:rPr>
          <w:rFonts w:asciiTheme="majorHAnsi" w:hAnsiTheme="majorHAnsi"/>
        </w:rPr>
      </w:pPr>
      <w:r>
        <w:rPr>
          <w:rFonts w:asciiTheme="majorHAnsi" w:hAnsiTheme="majorHAnsi"/>
        </w:rPr>
        <w:t xml:space="preserve">Brown, P. 1971. </w:t>
      </w:r>
      <w:r w:rsidRPr="0093717C">
        <w:rPr>
          <w:rFonts w:asciiTheme="majorHAnsi" w:hAnsiTheme="majorHAnsi"/>
          <w:i/>
        </w:rPr>
        <w:t>The World of Late Antiquity, AD 150-750</w:t>
      </w:r>
      <w:r>
        <w:rPr>
          <w:rFonts w:asciiTheme="majorHAnsi" w:hAnsiTheme="majorHAnsi"/>
        </w:rPr>
        <w:t>. New York: W.W. Norton &amp; Company.</w:t>
      </w:r>
    </w:p>
    <w:p w:rsidR="0093717C" w:rsidRDefault="0093717C" w:rsidP="0093717C">
      <w:pPr>
        <w:spacing w:after="240" w:line="240" w:lineRule="auto"/>
        <w:rPr>
          <w:rFonts w:asciiTheme="majorHAnsi" w:hAnsiTheme="majorHAnsi"/>
        </w:rPr>
      </w:pPr>
      <w:r>
        <w:rPr>
          <w:rFonts w:asciiTheme="majorHAnsi" w:hAnsiTheme="majorHAnsi"/>
        </w:rPr>
        <w:t xml:space="preserve">Gibbon, E. 2000. </w:t>
      </w:r>
      <w:r w:rsidRPr="003D0ADE">
        <w:rPr>
          <w:rFonts w:asciiTheme="majorHAnsi" w:hAnsiTheme="majorHAnsi"/>
          <w:i/>
        </w:rPr>
        <w:t>The History of the Decline and Fall of the Roman Empire: Abridged Edition</w:t>
      </w:r>
      <w:r>
        <w:rPr>
          <w:rFonts w:asciiTheme="majorHAnsi" w:hAnsiTheme="majorHAnsi"/>
        </w:rPr>
        <w:t>, edited and abridged by D. Womersley.  London: Penguin.</w:t>
      </w:r>
    </w:p>
    <w:p w:rsidR="0093717C" w:rsidRDefault="0093717C" w:rsidP="0093717C">
      <w:pPr>
        <w:spacing w:after="240" w:line="240" w:lineRule="auto"/>
        <w:rPr>
          <w:rFonts w:asciiTheme="majorHAnsi" w:hAnsiTheme="majorHAnsi"/>
        </w:rPr>
      </w:pPr>
      <w:r>
        <w:rPr>
          <w:rFonts w:asciiTheme="majorHAnsi" w:hAnsiTheme="majorHAnsi"/>
        </w:rPr>
        <w:t>Jones, A. H. M. 1986</w:t>
      </w:r>
      <w:r w:rsidRPr="0072445C">
        <w:rPr>
          <w:rFonts w:asciiTheme="majorHAnsi" w:hAnsiTheme="majorHAnsi"/>
        </w:rPr>
        <w:t xml:space="preserve">. </w:t>
      </w:r>
      <w:r w:rsidRPr="0072445C">
        <w:rPr>
          <w:rFonts w:asciiTheme="majorHAnsi" w:hAnsiTheme="majorHAnsi"/>
          <w:i/>
        </w:rPr>
        <w:t>The Later Roman Empire 284-602: A Social, Economic, and Administrative Survey</w:t>
      </w:r>
      <w:r w:rsidRPr="0072445C">
        <w:rPr>
          <w:rFonts w:asciiTheme="majorHAnsi" w:hAnsiTheme="majorHAnsi"/>
        </w:rPr>
        <w:t xml:space="preserve">, </w:t>
      </w:r>
      <w:r>
        <w:rPr>
          <w:rFonts w:asciiTheme="majorHAnsi" w:hAnsiTheme="majorHAnsi"/>
        </w:rPr>
        <w:t>2 vols. Baltimore: Johns Hopkins University Press.</w:t>
      </w:r>
    </w:p>
    <w:p w:rsidR="0093717C" w:rsidRPr="0072445C" w:rsidRDefault="0093717C" w:rsidP="0093717C">
      <w:pPr>
        <w:spacing w:after="240" w:line="240" w:lineRule="auto"/>
        <w:rPr>
          <w:rFonts w:asciiTheme="majorHAnsi" w:hAnsiTheme="majorHAnsi"/>
        </w:rPr>
      </w:pPr>
      <w:r w:rsidRPr="0072445C">
        <w:rPr>
          <w:rFonts w:asciiTheme="majorHAnsi" w:hAnsiTheme="majorHAnsi"/>
        </w:rPr>
        <w:t xml:space="preserve">Lepelley, C. 1967. “Declin ou stabilite de l’agriculture africaine au Bas-Empire? A propos </w:t>
      </w:r>
      <w:r>
        <w:rPr>
          <w:rFonts w:asciiTheme="majorHAnsi" w:hAnsiTheme="majorHAnsi"/>
        </w:rPr>
        <w:t>d’un loi de l’empereur Honorius.</w:t>
      </w:r>
      <w:r w:rsidRPr="0072445C">
        <w:rPr>
          <w:rFonts w:asciiTheme="majorHAnsi" w:hAnsiTheme="majorHAnsi"/>
        </w:rPr>
        <w:t xml:space="preserve">” </w:t>
      </w:r>
      <w:r w:rsidRPr="0072445C">
        <w:rPr>
          <w:rFonts w:asciiTheme="majorHAnsi" w:hAnsiTheme="majorHAnsi"/>
          <w:i/>
        </w:rPr>
        <w:t>Antiquites Africaines</w:t>
      </w:r>
      <w:r>
        <w:rPr>
          <w:rFonts w:asciiTheme="majorHAnsi" w:hAnsiTheme="majorHAnsi"/>
        </w:rPr>
        <w:t xml:space="preserve"> 1:</w:t>
      </w:r>
      <w:r w:rsidRPr="0072445C">
        <w:rPr>
          <w:rFonts w:asciiTheme="majorHAnsi" w:hAnsiTheme="majorHAnsi"/>
        </w:rPr>
        <w:t xml:space="preserve"> 135-144.</w:t>
      </w:r>
    </w:p>
    <w:p w:rsidR="0093717C" w:rsidRDefault="0093717C" w:rsidP="0093717C">
      <w:pPr>
        <w:spacing w:after="240" w:line="240" w:lineRule="auto"/>
        <w:rPr>
          <w:rFonts w:asciiTheme="majorHAnsi" w:hAnsiTheme="majorHAnsi"/>
        </w:rPr>
      </w:pPr>
      <w:r>
        <w:rPr>
          <w:rFonts w:asciiTheme="majorHAnsi" w:hAnsiTheme="majorHAnsi"/>
        </w:rPr>
        <w:t xml:space="preserve">Mahjoubi, A. 1978. </w:t>
      </w:r>
      <w:r w:rsidRPr="00EC618E">
        <w:rPr>
          <w:rFonts w:asciiTheme="majorHAnsi" w:hAnsiTheme="majorHAnsi"/>
          <w:i/>
        </w:rPr>
        <w:t>Recherches d’histoire et d’archeologie a Henchir El-Faouar (Tunisie): la cite des Belalitani Maiores</w:t>
      </w:r>
      <w:r>
        <w:rPr>
          <w:rFonts w:asciiTheme="majorHAnsi" w:hAnsiTheme="majorHAnsi"/>
        </w:rPr>
        <w:t>. Tunis:</w:t>
      </w:r>
      <w:r w:rsidRPr="0093717C">
        <w:rPr>
          <w:rFonts w:asciiTheme="majorHAnsi" w:hAnsiTheme="majorHAnsi"/>
        </w:rPr>
        <w:t xml:space="preserve"> </w:t>
      </w:r>
      <w:r>
        <w:rPr>
          <w:rFonts w:asciiTheme="majorHAnsi" w:hAnsiTheme="majorHAnsi"/>
        </w:rPr>
        <w:t>Tunis Universite.</w:t>
      </w:r>
    </w:p>
    <w:p w:rsidR="0093717C" w:rsidRPr="006670AB" w:rsidRDefault="0093717C" w:rsidP="006670AB">
      <w:pPr>
        <w:rPr>
          <w:rFonts w:asciiTheme="majorHAnsi" w:hAnsiTheme="majorHAnsi"/>
          <w:szCs w:val="24"/>
        </w:rPr>
      </w:pPr>
    </w:p>
    <w:sectPr w:rsidR="0093717C" w:rsidRPr="006670AB" w:rsidSect="00D553D3">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1AF" w:rsidRDefault="002831AF" w:rsidP="006670AB">
      <w:pPr>
        <w:spacing w:line="240" w:lineRule="auto"/>
      </w:pPr>
      <w:r>
        <w:separator/>
      </w:r>
    </w:p>
  </w:endnote>
  <w:endnote w:type="continuationSeparator" w:id="0">
    <w:p w:rsidR="002831AF" w:rsidRDefault="002831AF" w:rsidP="006670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184062"/>
      <w:docPartObj>
        <w:docPartGallery w:val="Page Numbers (Bottom of Page)"/>
        <w:docPartUnique/>
      </w:docPartObj>
    </w:sdtPr>
    <w:sdtEndPr>
      <w:rPr>
        <w:noProof/>
      </w:rPr>
    </w:sdtEndPr>
    <w:sdtContent>
      <w:p w:rsidR="009258C2" w:rsidRDefault="00D553D3">
        <w:pPr>
          <w:pStyle w:val="Footer"/>
          <w:jc w:val="right"/>
        </w:pPr>
        <w:fldSimple w:instr=" PAGE   \* MERGEFORMAT ">
          <w:r w:rsidR="00085014">
            <w:rPr>
              <w:noProof/>
            </w:rPr>
            <w:t>1</w:t>
          </w:r>
        </w:fldSimple>
      </w:p>
    </w:sdtContent>
  </w:sdt>
  <w:p w:rsidR="009258C2" w:rsidRDefault="009258C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1AF" w:rsidRDefault="002831AF" w:rsidP="006670AB">
      <w:pPr>
        <w:spacing w:line="240" w:lineRule="auto"/>
      </w:pPr>
      <w:r>
        <w:separator/>
      </w:r>
    </w:p>
  </w:footnote>
  <w:footnote w:type="continuationSeparator" w:id="0">
    <w:p w:rsidR="002831AF" w:rsidRDefault="002831AF" w:rsidP="006670AB">
      <w:pPr>
        <w:spacing w:line="240" w:lineRule="auto"/>
      </w:pPr>
      <w:r>
        <w:continuationSeparator/>
      </w:r>
    </w:p>
  </w:footnote>
  <w:footnote w:id="1">
    <w:p w:rsidR="006670AB" w:rsidRPr="00CF75B0" w:rsidRDefault="006670AB" w:rsidP="006670AB">
      <w:pPr>
        <w:pStyle w:val="FootnoteText"/>
        <w:rPr>
          <w:rFonts w:asciiTheme="majorHAnsi" w:hAnsiTheme="majorHAnsi"/>
        </w:rPr>
      </w:pPr>
      <w:r w:rsidRPr="00CF75B0">
        <w:rPr>
          <w:rStyle w:val="FootnoteReference"/>
          <w:rFonts w:asciiTheme="majorHAnsi" w:hAnsiTheme="majorHAnsi"/>
        </w:rPr>
        <w:footnoteRef/>
      </w:r>
      <w:r w:rsidRPr="00CF75B0">
        <w:rPr>
          <w:rFonts w:asciiTheme="majorHAnsi" w:hAnsiTheme="majorHAnsi"/>
        </w:rPr>
        <w:t xml:space="preserve"> </w:t>
      </w:r>
      <w:r w:rsidRPr="00CF75B0">
        <w:rPr>
          <w:rFonts w:asciiTheme="majorHAnsi" w:hAnsiTheme="majorHAnsi"/>
        </w:rPr>
        <w:tab/>
      </w:r>
      <w:r>
        <w:rPr>
          <w:rFonts w:asciiTheme="majorHAnsi" w:hAnsiTheme="majorHAnsi" w:cstheme="minorHAnsi"/>
        </w:rPr>
        <w:t xml:space="preserve">“The minds of men </w:t>
      </w:r>
      <w:r>
        <w:rPr>
          <w:rFonts w:asciiTheme="majorHAnsi" w:hAnsiTheme="majorHAnsi"/>
        </w:rPr>
        <w:t>were gradually reduced to the same level, the fire of genius was extinguished, and even the military spirit evaporated.”</w:t>
      </w:r>
      <w:r>
        <w:rPr>
          <w:rStyle w:val="FootnoteReference"/>
          <w:rFonts w:asciiTheme="majorHAnsi" w:hAnsiTheme="majorHAnsi" w:cstheme="minorHAnsi"/>
        </w:rPr>
        <w:t xml:space="preserve"> </w:t>
      </w:r>
      <w:r>
        <w:rPr>
          <w:rFonts w:asciiTheme="majorHAnsi" w:hAnsiTheme="majorHAnsi"/>
        </w:rPr>
        <w:t>(Gibbon 2000, 62)</w:t>
      </w:r>
    </w:p>
  </w:footnote>
  <w:footnote w:id="2">
    <w:p w:rsidR="006670AB" w:rsidRPr="00CF75B0" w:rsidRDefault="006670AB" w:rsidP="006670AB">
      <w:pPr>
        <w:pStyle w:val="FootnoteText"/>
        <w:rPr>
          <w:rFonts w:asciiTheme="majorHAnsi" w:hAnsiTheme="majorHAnsi"/>
        </w:rPr>
      </w:pPr>
      <w:r w:rsidRPr="00CF75B0">
        <w:rPr>
          <w:rStyle w:val="FootnoteReference"/>
          <w:rFonts w:asciiTheme="majorHAnsi" w:hAnsiTheme="majorHAnsi"/>
        </w:rPr>
        <w:footnoteRef/>
      </w:r>
      <w:r w:rsidRPr="00CF75B0">
        <w:rPr>
          <w:rFonts w:asciiTheme="majorHAnsi" w:hAnsiTheme="majorHAnsi"/>
        </w:rPr>
        <w:t xml:space="preserve"> </w:t>
      </w:r>
      <w:r w:rsidRPr="00CF75B0">
        <w:rPr>
          <w:rFonts w:asciiTheme="majorHAnsi" w:hAnsiTheme="majorHAnsi"/>
        </w:rPr>
        <w:tab/>
      </w:r>
      <w:r>
        <w:rPr>
          <w:rFonts w:asciiTheme="majorHAnsi" w:hAnsiTheme="majorHAnsi"/>
        </w:rPr>
        <w:t>See Jones 1986</w:t>
      </w:r>
      <w:r w:rsidRPr="00CF75B0">
        <w:rPr>
          <w:rFonts w:asciiTheme="majorHAnsi" w:hAnsiTheme="majorHAnsi"/>
        </w:rPr>
        <w:t>; Brown 1971</w:t>
      </w:r>
      <w:r>
        <w:rPr>
          <w:rFonts w:asciiTheme="majorHAnsi" w:hAnsiTheme="majorHAnsi"/>
        </w:rPr>
        <w:t>.</w:t>
      </w:r>
    </w:p>
  </w:footnote>
  <w:footnote w:id="3">
    <w:p w:rsidR="006670AB" w:rsidRPr="000F0247" w:rsidRDefault="006670AB" w:rsidP="006670AB">
      <w:pPr>
        <w:pStyle w:val="FootnoteText"/>
        <w:rPr>
          <w:rFonts w:asciiTheme="majorHAnsi" w:hAnsiTheme="majorHAnsi"/>
        </w:rPr>
      </w:pPr>
      <w:r w:rsidRPr="000F0247">
        <w:rPr>
          <w:rStyle w:val="FootnoteReference"/>
          <w:rFonts w:asciiTheme="majorHAnsi" w:hAnsiTheme="majorHAnsi"/>
        </w:rPr>
        <w:footnoteRef/>
      </w:r>
      <w:r w:rsidRPr="000F0247">
        <w:rPr>
          <w:rFonts w:asciiTheme="majorHAnsi" w:hAnsiTheme="majorHAnsi"/>
        </w:rPr>
        <w:t xml:space="preserve"> </w:t>
      </w:r>
      <w:r w:rsidRPr="000F0247">
        <w:rPr>
          <w:rFonts w:asciiTheme="majorHAnsi" w:hAnsiTheme="majorHAnsi"/>
        </w:rPr>
        <w:tab/>
        <w:t xml:space="preserve">The </w:t>
      </w:r>
      <w:r w:rsidRPr="000F0247">
        <w:rPr>
          <w:rFonts w:asciiTheme="majorHAnsi" w:hAnsiTheme="majorHAnsi"/>
          <w:i/>
        </w:rPr>
        <w:t>Journal of Late Antiquity</w:t>
      </w:r>
      <w:r w:rsidRPr="000F0247">
        <w:rPr>
          <w:rFonts w:asciiTheme="majorHAnsi" w:hAnsiTheme="majorHAnsi"/>
        </w:rPr>
        <w:t xml:space="preserve"> was launched by Johns Hopkins</w:t>
      </w:r>
      <w:r>
        <w:rPr>
          <w:rFonts w:asciiTheme="majorHAnsi" w:hAnsiTheme="majorHAnsi"/>
        </w:rPr>
        <w:t xml:space="preserve"> University</w:t>
      </w:r>
      <w:r w:rsidRPr="000F0247">
        <w:rPr>
          <w:rFonts w:asciiTheme="majorHAnsi" w:hAnsiTheme="majorHAnsi"/>
        </w:rPr>
        <w:t xml:space="preserve"> Press in 2008.  It is the first international </w:t>
      </w:r>
      <w:r>
        <w:rPr>
          <w:rFonts w:asciiTheme="majorHAnsi" w:hAnsiTheme="majorHAnsi"/>
        </w:rPr>
        <w:t xml:space="preserve">interdisciplinary </w:t>
      </w:r>
      <w:r w:rsidRPr="000F0247">
        <w:rPr>
          <w:rFonts w:asciiTheme="majorHAnsi" w:hAnsiTheme="majorHAnsi"/>
        </w:rPr>
        <w:t>publication to deal exclusi</w:t>
      </w:r>
      <w:r>
        <w:rPr>
          <w:rFonts w:asciiTheme="majorHAnsi" w:hAnsiTheme="majorHAnsi"/>
        </w:rPr>
        <w:t>vely with</w:t>
      </w:r>
      <w:r w:rsidRPr="000F0247">
        <w:rPr>
          <w:rFonts w:asciiTheme="majorHAnsi" w:hAnsiTheme="majorHAnsi"/>
        </w:rPr>
        <w:t xml:space="preserve"> the late antique period</w:t>
      </w:r>
      <w:r>
        <w:rPr>
          <w:rFonts w:asciiTheme="majorHAnsi" w:hAnsiTheme="majorHAnsi"/>
        </w:rPr>
        <w:t xml:space="preserve"> (250-800 A.D.)</w:t>
      </w:r>
      <w:r w:rsidRPr="000F0247">
        <w:rPr>
          <w:rFonts w:asciiTheme="majorHAnsi" w:hAnsiTheme="majorHAnsi"/>
        </w:rPr>
        <w:t>.</w:t>
      </w:r>
    </w:p>
  </w:footnote>
  <w:footnote w:id="4">
    <w:p w:rsidR="006670AB" w:rsidRDefault="006670AB" w:rsidP="006670AB">
      <w:pPr>
        <w:pStyle w:val="FootnoteText"/>
      </w:pPr>
      <w:r w:rsidRPr="00CF75B0">
        <w:rPr>
          <w:rStyle w:val="FootnoteReference"/>
          <w:rFonts w:asciiTheme="majorHAnsi" w:hAnsiTheme="majorHAnsi"/>
        </w:rPr>
        <w:footnoteRef/>
      </w:r>
      <w:r w:rsidRPr="00CF75B0">
        <w:rPr>
          <w:rFonts w:asciiTheme="majorHAnsi" w:hAnsiTheme="majorHAnsi"/>
        </w:rPr>
        <w:t xml:space="preserve"> </w:t>
      </w:r>
      <w:r w:rsidRPr="00CF75B0">
        <w:rPr>
          <w:rFonts w:asciiTheme="majorHAnsi" w:hAnsiTheme="majorHAnsi"/>
        </w:rPr>
        <w:tab/>
        <w:t>See Mahjoubi 1978, 1984; Lepelley 1967.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6670AB"/>
    <w:rsid w:val="000107F8"/>
    <w:rsid w:val="00085014"/>
    <w:rsid w:val="002831AF"/>
    <w:rsid w:val="003346E5"/>
    <w:rsid w:val="003C62F0"/>
    <w:rsid w:val="0044306B"/>
    <w:rsid w:val="004B6AD7"/>
    <w:rsid w:val="006670AB"/>
    <w:rsid w:val="00785892"/>
    <w:rsid w:val="009258C2"/>
    <w:rsid w:val="0093717C"/>
    <w:rsid w:val="00AC1B22"/>
    <w:rsid w:val="00B37F54"/>
    <w:rsid w:val="00B90DDB"/>
    <w:rsid w:val="00D553D3"/>
    <w:rsid w:val="00D97BF7"/>
    <w:rsid w:val="00DB6CC5"/>
    <w:rsid w:val="00EC4A4F"/>
    <w:rsid w:val="00EE08FF"/>
    <w:rsid w:val="00EF319D"/>
  </w:rsids>
  <m:mathPr>
    <m:mathFont m:val="GR Oxfor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0AB"/>
    <w:pPr>
      <w:spacing w:after="0" w:line="480" w:lineRule="auto"/>
    </w:pPr>
    <w:rPr>
      <w:rFonts w:ascii="Calibri" w:eastAsia="Calibri" w:hAnsi="Calibri"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6670AB"/>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6670AB"/>
    <w:pPr>
      <w:spacing w:line="240" w:lineRule="auto"/>
    </w:pPr>
    <w:rPr>
      <w:sz w:val="20"/>
      <w:szCs w:val="20"/>
    </w:rPr>
  </w:style>
  <w:style w:type="character" w:customStyle="1" w:styleId="FootnoteTextChar">
    <w:name w:val="Footnote Text Char"/>
    <w:basedOn w:val="DefaultParagraphFont"/>
    <w:link w:val="FootnoteText"/>
    <w:uiPriority w:val="99"/>
    <w:semiHidden/>
    <w:rsid w:val="006670AB"/>
    <w:rPr>
      <w:rFonts w:ascii="Calibri" w:eastAsia="Calibri" w:hAnsi="Calibri" w:cs="Times New Roman"/>
      <w:sz w:val="20"/>
      <w:szCs w:val="20"/>
    </w:rPr>
  </w:style>
  <w:style w:type="character" w:styleId="FootnoteReference">
    <w:name w:val="footnote reference"/>
    <w:uiPriority w:val="99"/>
    <w:semiHidden/>
    <w:unhideWhenUsed/>
    <w:rsid w:val="006670AB"/>
    <w:rPr>
      <w:vertAlign w:val="superscript"/>
    </w:rPr>
  </w:style>
  <w:style w:type="paragraph" w:styleId="Header">
    <w:name w:val="header"/>
    <w:basedOn w:val="Normal"/>
    <w:link w:val="HeaderChar"/>
    <w:uiPriority w:val="99"/>
    <w:unhideWhenUsed/>
    <w:rsid w:val="009258C2"/>
    <w:pPr>
      <w:tabs>
        <w:tab w:val="center" w:pos="4680"/>
        <w:tab w:val="right" w:pos="9360"/>
      </w:tabs>
      <w:spacing w:line="240" w:lineRule="auto"/>
    </w:pPr>
  </w:style>
  <w:style w:type="character" w:customStyle="1" w:styleId="HeaderChar">
    <w:name w:val="Header Char"/>
    <w:basedOn w:val="DefaultParagraphFont"/>
    <w:link w:val="Header"/>
    <w:uiPriority w:val="99"/>
    <w:rsid w:val="009258C2"/>
    <w:rPr>
      <w:rFonts w:ascii="Calibri" w:eastAsia="Calibri" w:hAnsi="Calibri" w:cs="Times New Roman"/>
      <w:sz w:val="24"/>
    </w:rPr>
  </w:style>
  <w:style w:type="paragraph" w:styleId="Footer">
    <w:name w:val="footer"/>
    <w:basedOn w:val="Normal"/>
    <w:link w:val="FooterChar"/>
    <w:uiPriority w:val="99"/>
    <w:unhideWhenUsed/>
    <w:rsid w:val="009258C2"/>
    <w:pPr>
      <w:tabs>
        <w:tab w:val="center" w:pos="4680"/>
        <w:tab w:val="right" w:pos="9360"/>
      </w:tabs>
      <w:spacing w:line="240" w:lineRule="auto"/>
    </w:pPr>
  </w:style>
  <w:style w:type="character" w:customStyle="1" w:styleId="FooterChar">
    <w:name w:val="Footer Char"/>
    <w:basedOn w:val="DefaultParagraphFont"/>
    <w:link w:val="Footer"/>
    <w:uiPriority w:val="99"/>
    <w:rsid w:val="009258C2"/>
    <w:rPr>
      <w:rFonts w:ascii="Calibri" w:eastAsia="Calibri" w:hAnsi="Calibri" w:cs="Times New Roman"/>
      <w:sz w:val="24"/>
    </w:rPr>
  </w:style>
  <w:style w:type="paragraph" w:styleId="BalloonText">
    <w:name w:val="Balloon Text"/>
    <w:basedOn w:val="Normal"/>
    <w:link w:val="BalloonTextChar"/>
    <w:uiPriority w:val="99"/>
    <w:semiHidden/>
    <w:unhideWhenUsed/>
    <w:rsid w:val="00EC4A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0AB"/>
    <w:pPr>
      <w:spacing w:after="0" w:line="48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70AB"/>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6670AB"/>
    <w:pPr>
      <w:spacing w:line="240" w:lineRule="auto"/>
    </w:pPr>
    <w:rPr>
      <w:sz w:val="20"/>
      <w:szCs w:val="20"/>
    </w:rPr>
  </w:style>
  <w:style w:type="character" w:customStyle="1" w:styleId="FootnoteTextChar">
    <w:name w:val="Footnote Text Char"/>
    <w:basedOn w:val="DefaultParagraphFont"/>
    <w:link w:val="FootnoteText"/>
    <w:uiPriority w:val="99"/>
    <w:semiHidden/>
    <w:rsid w:val="006670AB"/>
    <w:rPr>
      <w:rFonts w:ascii="Calibri" w:eastAsia="Calibri" w:hAnsi="Calibri" w:cs="Times New Roman"/>
      <w:sz w:val="20"/>
      <w:szCs w:val="20"/>
    </w:rPr>
  </w:style>
  <w:style w:type="character" w:styleId="FootnoteReference">
    <w:name w:val="footnote reference"/>
    <w:uiPriority w:val="99"/>
    <w:semiHidden/>
    <w:unhideWhenUsed/>
    <w:rsid w:val="006670AB"/>
    <w:rPr>
      <w:vertAlign w:val="superscript"/>
    </w:rPr>
  </w:style>
  <w:style w:type="paragraph" w:styleId="Header">
    <w:name w:val="header"/>
    <w:basedOn w:val="Normal"/>
    <w:link w:val="HeaderChar"/>
    <w:uiPriority w:val="99"/>
    <w:unhideWhenUsed/>
    <w:rsid w:val="009258C2"/>
    <w:pPr>
      <w:tabs>
        <w:tab w:val="center" w:pos="4680"/>
        <w:tab w:val="right" w:pos="9360"/>
      </w:tabs>
      <w:spacing w:line="240" w:lineRule="auto"/>
    </w:pPr>
  </w:style>
  <w:style w:type="character" w:customStyle="1" w:styleId="HeaderChar">
    <w:name w:val="Header Char"/>
    <w:basedOn w:val="DefaultParagraphFont"/>
    <w:link w:val="Header"/>
    <w:uiPriority w:val="99"/>
    <w:rsid w:val="009258C2"/>
    <w:rPr>
      <w:rFonts w:ascii="Calibri" w:eastAsia="Calibri" w:hAnsi="Calibri" w:cs="Times New Roman"/>
      <w:sz w:val="24"/>
    </w:rPr>
  </w:style>
  <w:style w:type="paragraph" w:styleId="Footer">
    <w:name w:val="footer"/>
    <w:basedOn w:val="Normal"/>
    <w:link w:val="FooterChar"/>
    <w:uiPriority w:val="99"/>
    <w:unhideWhenUsed/>
    <w:rsid w:val="009258C2"/>
    <w:pPr>
      <w:tabs>
        <w:tab w:val="center" w:pos="4680"/>
        <w:tab w:val="right" w:pos="9360"/>
      </w:tabs>
      <w:spacing w:line="240" w:lineRule="auto"/>
    </w:pPr>
  </w:style>
  <w:style w:type="character" w:customStyle="1" w:styleId="FooterChar">
    <w:name w:val="Footer Char"/>
    <w:basedOn w:val="DefaultParagraphFont"/>
    <w:link w:val="Footer"/>
    <w:uiPriority w:val="99"/>
    <w:rsid w:val="009258C2"/>
    <w:rPr>
      <w:rFonts w:ascii="Calibri" w:eastAsia="Calibri" w:hAnsi="Calibri" w:cs="Times New Roman"/>
      <w:sz w:val="24"/>
    </w:rPr>
  </w:style>
  <w:style w:type="paragraph" w:styleId="BalloonText">
    <w:name w:val="Balloon Text"/>
    <w:basedOn w:val="Normal"/>
    <w:link w:val="BalloonTextChar"/>
    <w:uiPriority w:val="99"/>
    <w:semiHidden/>
    <w:unhideWhenUsed/>
    <w:rsid w:val="00EC4A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4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10" Type="http://schemas.microsoft.com/office/2007/relationships/stylesWithEffects" Target="stylesWithEffect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B820-0B47-404A-B7B7-496B052A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3081</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Information and Instructional Technologies</cp:lastModifiedBy>
  <cp:revision>3</cp:revision>
  <dcterms:created xsi:type="dcterms:W3CDTF">2011-09-23T02:54:00Z</dcterms:created>
  <dcterms:modified xsi:type="dcterms:W3CDTF">2011-09-23T12:49:00Z</dcterms:modified>
</cp:coreProperties>
</file>