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D8" w:rsidRPr="00CE28B8" w:rsidRDefault="0006521E" w:rsidP="00444285">
      <w:pPr>
        <w:spacing w:after="0" w:line="240" w:lineRule="auto"/>
        <w:jc w:val="center"/>
      </w:pPr>
      <w:r w:rsidRPr="00CE28B8">
        <w:t>A Tale of Two Combats: A R</w:t>
      </w:r>
      <w:r w:rsidR="00711ED8" w:rsidRPr="00CE28B8">
        <w:t xml:space="preserve">eading </w:t>
      </w:r>
      <w:r w:rsidRPr="00CE28B8">
        <w:t xml:space="preserve">of </w:t>
      </w:r>
      <w:r w:rsidR="00711ED8" w:rsidRPr="00CE28B8">
        <w:t xml:space="preserve">the </w:t>
      </w:r>
      <w:proofErr w:type="spellStart"/>
      <w:r w:rsidR="002C77FF" w:rsidRPr="00CE28B8">
        <w:t>Tsyzkiewicz</w:t>
      </w:r>
      <w:proofErr w:type="spellEnd"/>
      <w:r w:rsidR="002C77FF" w:rsidRPr="00CE28B8">
        <w:t xml:space="preserve"> Painter’s Name-Vase</w:t>
      </w:r>
    </w:p>
    <w:p w:rsidR="00711ED8" w:rsidRDefault="00711ED8" w:rsidP="006B5BE6">
      <w:pPr>
        <w:spacing w:after="0" w:line="240" w:lineRule="auto"/>
      </w:pPr>
    </w:p>
    <w:p w:rsidR="004553DA" w:rsidRDefault="006B5BE6" w:rsidP="006B5BE6">
      <w:pPr>
        <w:spacing w:after="0" w:line="240" w:lineRule="auto"/>
      </w:pPr>
      <w:r>
        <w:tab/>
        <w:t xml:space="preserve">Boston </w:t>
      </w:r>
      <w:bookmarkStart w:id="0" w:name="_GoBack"/>
      <w:bookmarkEnd w:id="0"/>
      <w:r>
        <w:t xml:space="preserve">97.368, a calyx </w:t>
      </w:r>
      <w:proofErr w:type="spellStart"/>
      <w:r>
        <w:t>krater</w:t>
      </w:r>
      <w:proofErr w:type="spellEnd"/>
      <w:r>
        <w:t xml:space="preserve"> which serves as the name-vase of the </w:t>
      </w:r>
      <w:proofErr w:type="spellStart"/>
      <w:r>
        <w:t>Tsyzkiewicz</w:t>
      </w:r>
      <w:proofErr w:type="spellEnd"/>
      <w:r>
        <w:t xml:space="preserve"> painter, </w:t>
      </w:r>
      <w:r w:rsidR="0006521E">
        <w:t>depicts</w:t>
      </w:r>
      <w:r>
        <w:t xml:space="preserve"> two legendary combats: Achilles and </w:t>
      </w:r>
      <w:proofErr w:type="spellStart"/>
      <w:r>
        <w:t>Memnon</w:t>
      </w:r>
      <w:proofErr w:type="spellEnd"/>
      <w:r>
        <w:t xml:space="preserve"> on side A, and </w:t>
      </w:r>
      <w:proofErr w:type="spellStart"/>
      <w:r>
        <w:t>Diomedes</w:t>
      </w:r>
      <w:proofErr w:type="spellEnd"/>
      <w:r>
        <w:t xml:space="preserve"> and Aeneas on side B. No other vase juxtaposes these two combat scenes. </w:t>
      </w:r>
      <w:r w:rsidR="0006521E">
        <w:t>T</w:t>
      </w:r>
      <w:r>
        <w:t xml:space="preserve">he </w:t>
      </w:r>
      <w:proofErr w:type="spellStart"/>
      <w:r>
        <w:t>Tsyzkiewicz</w:t>
      </w:r>
      <w:proofErr w:type="spellEnd"/>
      <w:r>
        <w:t xml:space="preserve"> painter deliberately parallel</w:t>
      </w:r>
      <w:r w:rsidR="0006521E">
        <w:t>s the scenes</w:t>
      </w:r>
      <w:r>
        <w:t xml:space="preserve">—all four combatants are supported by a goddess, and </w:t>
      </w:r>
      <w:r w:rsidR="00C13391">
        <w:t>Athena encourages both</w:t>
      </w:r>
      <w:r>
        <w:t xml:space="preserve"> victors </w:t>
      </w:r>
      <w:r w:rsidR="00C13391">
        <w:t>with</w:t>
      </w:r>
      <w:r>
        <w:t xml:space="preserve"> </w:t>
      </w:r>
      <w:r w:rsidR="00C13391">
        <w:t>similar gestures, while t</w:t>
      </w:r>
      <w:r w:rsidR="002B058D">
        <w:t>he defeated warrior</w:t>
      </w:r>
      <w:r w:rsidR="00C13391">
        <w:t>s</w:t>
      </w:r>
      <w:r w:rsidR="002B058D">
        <w:t xml:space="preserve"> fall back into the arms of </w:t>
      </w:r>
      <w:r w:rsidR="00C13391">
        <w:t>their</w:t>
      </w:r>
      <w:r w:rsidR="002B058D">
        <w:t xml:space="preserve"> divine mother</w:t>
      </w:r>
      <w:r w:rsidR="00C13391">
        <w:t>s</w:t>
      </w:r>
      <w:r w:rsidR="002B058D">
        <w:t xml:space="preserve">. </w:t>
      </w:r>
      <w:r w:rsidR="0006521E">
        <w:t>The painter enhances this parallelism by replacing Thetis, who usually stand</w:t>
      </w:r>
      <w:r w:rsidR="004553DA">
        <w:t>s behind Achilles, with Athena.</w:t>
      </w:r>
    </w:p>
    <w:p w:rsidR="004553DA" w:rsidRDefault="002B058D" w:rsidP="004553DA">
      <w:pPr>
        <w:spacing w:after="0" w:line="240" w:lineRule="auto"/>
        <w:ind w:firstLine="720"/>
      </w:pPr>
      <w:r>
        <w:t xml:space="preserve">The most striking </w:t>
      </w:r>
      <w:r w:rsidR="0006521E">
        <w:t>difference between the two sides</w:t>
      </w:r>
      <w:r>
        <w:t xml:space="preserve"> is the presence of a corpse between Achilles and </w:t>
      </w:r>
      <w:proofErr w:type="spellStart"/>
      <w:r>
        <w:t>Memnon</w:t>
      </w:r>
      <w:proofErr w:type="spellEnd"/>
      <w:r w:rsidR="0006521E">
        <w:t>,</w:t>
      </w:r>
      <w:r>
        <w:t xml:space="preserve"> labeled </w:t>
      </w:r>
      <w:proofErr w:type="spellStart"/>
      <w:r>
        <w:t>Melanippos</w:t>
      </w:r>
      <w:proofErr w:type="spellEnd"/>
      <w:r w:rsidR="0006521E">
        <w:t>.</w:t>
      </w:r>
      <w:r>
        <w:t xml:space="preserve"> </w:t>
      </w:r>
      <w:r w:rsidR="0006521E">
        <w:t xml:space="preserve">This is the only occasion where the corpse between Achilles and </w:t>
      </w:r>
      <w:proofErr w:type="spellStart"/>
      <w:r w:rsidR="0006521E">
        <w:t>Memnon</w:t>
      </w:r>
      <w:proofErr w:type="spellEnd"/>
      <w:r w:rsidR="0006521E">
        <w:t xml:space="preserve"> is identified as </w:t>
      </w:r>
      <w:proofErr w:type="spellStart"/>
      <w:r w:rsidR="0006521E">
        <w:t>Melanippos</w:t>
      </w:r>
      <w:proofErr w:type="spellEnd"/>
      <w:r>
        <w:t xml:space="preserve">. </w:t>
      </w:r>
      <w:r w:rsidR="00EA6027">
        <w:t xml:space="preserve">Homer, </w:t>
      </w:r>
      <w:r w:rsidR="00C465CE">
        <w:t xml:space="preserve">Pindar, and Proclus’ summary of the </w:t>
      </w:r>
      <w:proofErr w:type="spellStart"/>
      <w:r w:rsidR="00C465CE" w:rsidRPr="0006521E">
        <w:rPr>
          <w:i/>
        </w:rPr>
        <w:t>Aithiopis</w:t>
      </w:r>
      <w:proofErr w:type="spellEnd"/>
      <w:r w:rsidR="00C465CE">
        <w:t xml:space="preserve"> agree</w:t>
      </w:r>
      <w:r>
        <w:t xml:space="preserve"> that the death of </w:t>
      </w:r>
      <w:proofErr w:type="spellStart"/>
      <w:r>
        <w:t>Antilochos</w:t>
      </w:r>
      <w:proofErr w:type="spellEnd"/>
      <w:r>
        <w:t xml:space="preserve">, son of Nestor, precipitates this duel. </w:t>
      </w:r>
      <w:r w:rsidR="0006521E">
        <w:t>In other instances of this scene in art, if the corpse is labeled, it agrees with the literary sources</w:t>
      </w:r>
      <w:r>
        <w:t xml:space="preserve">. </w:t>
      </w:r>
      <w:r w:rsidR="0006521E">
        <w:t>According to the literary sources,</w:t>
      </w:r>
      <w:r w:rsidR="00C465CE">
        <w:t xml:space="preserve"> </w:t>
      </w:r>
      <w:r w:rsidR="00F44229">
        <w:t xml:space="preserve">Aeneas’ duel with </w:t>
      </w:r>
      <w:proofErr w:type="spellStart"/>
      <w:r w:rsidR="00F44229">
        <w:t>Diomedes</w:t>
      </w:r>
      <w:proofErr w:type="spellEnd"/>
      <w:r w:rsidR="00F44229">
        <w:t xml:space="preserve"> is </w:t>
      </w:r>
      <w:r w:rsidR="0006521E">
        <w:t xml:space="preserve">also </w:t>
      </w:r>
      <w:r w:rsidR="00F44229">
        <w:t xml:space="preserve">precipitated by </w:t>
      </w:r>
      <w:r w:rsidR="0006521E">
        <w:t>a</w:t>
      </w:r>
      <w:r w:rsidR="00F44229">
        <w:t xml:space="preserve"> death</w:t>
      </w:r>
      <w:r w:rsidR="0006521E">
        <w:t xml:space="preserve">, </w:t>
      </w:r>
      <w:r w:rsidR="00444285">
        <w:t xml:space="preserve">that of </w:t>
      </w:r>
      <w:r w:rsidR="00F44229">
        <w:t xml:space="preserve">Aeneas’ companion </w:t>
      </w:r>
      <w:proofErr w:type="spellStart"/>
      <w:r w:rsidR="00F44229">
        <w:t>Pandaros</w:t>
      </w:r>
      <w:proofErr w:type="spellEnd"/>
      <w:r w:rsidR="00F44229">
        <w:t>.</w:t>
      </w:r>
      <w:r w:rsidR="0006521E">
        <w:rPr>
          <w:rStyle w:val="FootnoteReference"/>
        </w:rPr>
        <w:footnoteReference w:id="1"/>
      </w:r>
      <w:r w:rsidR="00F44229">
        <w:t xml:space="preserve"> Yet </w:t>
      </w:r>
      <w:r w:rsidR="00265D95">
        <w:t>only one of the seven</w:t>
      </w:r>
      <w:r w:rsidR="00C13391">
        <w:t xml:space="preserve"> known</w:t>
      </w:r>
      <w:r w:rsidR="00F44229">
        <w:t xml:space="preserve"> depictions of this combat include</w:t>
      </w:r>
      <w:r w:rsidR="00265D95">
        <w:t>s</w:t>
      </w:r>
      <w:r w:rsidR="00F44229">
        <w:t xml:space="preserve"> the body of </w:t>
      </w:r>
      <w:proofErr w:type="spellStart"/>
      <w:r w:rsidR="00F44229">
        <w:t>Pandaros</w:t>
      </w:r>
      <w:proofErr w:type="spellEnd"/>
      <w:r w:rsidR="00C465CE">
        <w:t xml:space="preserve">, and the </w:t>
      </w:r>
      <w:proofErr w:type="spellStart"/>
      <w:r w:rsidR="00C465CE">
        <w:t>Tsyzkiewicz</w:t>
      </w:r>
      <w:proofErr w:type="spellEnd"/>
      <w:r w:rsidR="00C465CE">
        <w:t xml:space="preserve"> painter omits it</w:t>
      </w:r>
      <w:r w:rsidR="004553DA">
        <w:t>.</w:t>
      </w:r>
    </w:p>
    <w:p w:rsidR="00B848AE" w:rsidRDefault="00F44229" w:rsidP="004553DA">
      <w:pPr>
        <w:spacing w:after="0" w:line="240" w:lineRule="auto"/>
        <w:ind w:firstLine="720"/>
      </w:pPr>
      <w:r>
        <w:t xml:space="preserve">While it is possible that the </w:t>
      </w:r>
      <w:proofErr w:type="spellStart"/>
      <w:r>
        <w:t>Tsyzkiewicz</w:t>
      </w:r>
      <w:proofErr w:type="spellEnd"/>
      <w:r>
        <w:t xml:space="preserve"> painter’s </w:t>
      </w:r>
      <w:r w:rsidR="00265D95">
        <w:t>devi</w:t>
      </w:r>
      <w:r w:rsidR="0006521E">
        <w:t>ation</w:t>
      </w:r>
      <w:r w:rsidR="00444285">
        <w:t>s</w:t>
      </w:r>
      <w:r>
        <w:t xml:space="preserve"> from the literary tradition represent </w:t>
      </w:r>
      <w:r w:rsidR="00265D95">
        <w:t>otherwise unknown</w:t>
      </w:r>
      <w:r>
        <w:t xml:space="preserve"> </w:t>
      </w:r>
      <w:r w:rsidR="00265D95">
        <w:t>variants</w:t>
      </w:r>
      <w:r>
        <w:t xml:space="preserve"> of these two duels, the choice to follow </w:t>
      </w:r>
      <w:r w:rsidR="0006521E">
        <w:t>that alternate account</w:t>
      </w:r>
      <w:r>
        <w:t xml:space="preserve"> must still be explained. The fact that the corpse between Achilles and </w:t>
      </w:r>
      <w:proofErr w:type="spellStart"/>
      <w:r>
        <w:t>Memnon</w:t>
      </w:r>
      <w:proofErr w:type="spellEnd"/>
      <w:r>
        <w:t xml:space="preserve"> is </w:t>
      </w:r>
      <w:r w:rsidR="009D50A5">
        <w:t>mislabeled</w:t>
      </w:r>
      <w:r>
        <w:t xml:space="preserve"> </w:t>
      </w:r>
      <w:r w:rsidR="009D50A5">
        <w:t xml:space="preserve">perhaps </w:t>
      </w:r>
      <w:r>
        <w:t xml:space="preserve">suggests </w:t>
      </w:r>
      <w:r w:rsidR="009D50A5">
        <w:t xml:space="preserve">that </w:t>
      </w:r>
      <w:r w:rsidR="00444285">
        <w:t xml:space="preserve">the </w:t>
      </w:r>
      <w:r w:rsidR="00D138C0">
        <w:t>presence of the corpse mattered more than its identity</w:t>
      </w:r>
      <w:r>
        <w:t xml:space="preserve">. </w:t>
      </w:r>
      <w:r w:rsidR="00D138C0">
        <w:t>The importance of the corpse is highlighted b</w:t>
      </w:r>
      <w:r w:rsidR="00184772">
        <w:t xml:space="preserve">y several artistic choices. The shield of the fallen warrior projects into the space between the two combatants, and is further emphasized by a </w:t>
      </w:r>
      <w:proofErr w:type="spellStart"/>
      <w:r w:rsidR="00184772">
        <w:t>kalos</w:t>
      </w:r>
      <w:proofErr w:type="spellEnd"/>
      <w:r w:rsidR="00184772">
        <w:t xml:space="preserve">-inscription. </w:t>
      </w:r>
      <w:proofErr w:type="spellStart"/>
      <w:r w:rsidR="00184772">
        <w:t>Melanippos</w:t>
      </w:r>
      <w:proofErr w:type="spellEnd"/>
      <w:r w:rsidR="00184772">
        <w:t>’ right leg is foreshortened and depicted frontally, and the way his helmet has fallen from his head, revealing his eyes closed in death, is very uncommon.</w:t>
      </w:r>
    </w:p>
    <w:p w:rsidR="000B3C20" w:rsidRDefault="00F44229" w:rsidP="00FA0078">
      <w:pPr>
        <w:spacing w:after="0" w:line="240" w:lineRule="auto"/>
        <w:ind w:firstLine="720"/>
      </w:pPr>
      <w:r>
        <w:t xml:space="preserve">I </w:t>
      </w:r>
      <w:r w:rsidR="008462C3">
        <w:t xml:space="preserve">will argue that </w:t>
      </w:r>
      <w:proofErr w:type="spellStart"/>
      <w:r w:rsidR="008462C3">
        <w:t>Melanippos</w:t>
      </w:r>
      <w:proofErr w:type="spellEnd"/>
      <w:r w:rsidR="008462C3">
        <w:t xml:space="preserve">’ corpse may be read in two ways: as an integral element of the emotion of the scene, and as a symbolic foreshadowing of the fate which awaits both </w:t>
      </w:r>
      <w:proofErr w:type="spellStart"/>
      <w:r w:rsidR="008462C3">
        <w:t>Memnon</w:t>
      </w:r>
      <w:proofErr w:type="spellEnd"/>
      <w:r w:rsidR="008462C3">
        <w:t xml:space="preserve"> and, a little later, Achilles himself. The depiction of </w:t>
      </w:r>
      <w:proofErr w:type="spellStart"/>
      <w:r w:rsidR="008462C3">
        <w:t>Melanippos</w:t>
      </w:r>
      <w:proofErr w:type="spellEnd"/>
      <w:r w:rsidR="008462C3">
        <w:t>’ body—limbs lying awkwardly in death, without a corselet, his helmet falling off to reveal his closed eyes—evokes pity and sadness in the viewer</w:t>
      </w:r>
      <w:r>
        <w:t xml:space="preserve">, </w:t>
      </w:r>
      <w:r w:rsidR="008462C3">
        <w:t xml:space="preserve">a counterpart to the glorious and heroic duels which take place on each side of the </w:t>
      </w:r>
      <w:proofErr w:type="spellStart"/>
      <w:r w:rsidR="008462C3">
        <w:t>krater</w:t>
      </w:r>
      <w:proofErr w:type="spellEnd"/>
      <w:r w:rsidR="008462C3">
        <w:t xml:space="preserve">. Viewers familiar with the tale of Achilles’ death, however, </w:t>
      </w:r>
      <w:r w:rsidR="00444285">
        <w:t>would</w:t>
      </w:r>
      <w:r w:rsidR="008462C3">
        <w:t xml:space="preserve"> also </w:t>
      </w:r>
      <w:r w:rsidR="00444285">
        <w:t>remember</w:t>
      </w:r>
      <w:r w:rsidR="008462C3">
        <w:t xml:space="preserve"> that his combat with </w:t>
      </w:r>
      <w:proofErr w:type="spellStart"/>
      <w:r w:rsidR="008462C3">
        <w:t>Memnon</w:t>
      </w:r>
      <w:proofErr w:type="spellEnd"/>
      <w:r w:rsidR="008462C3">
        <w:t xml:space="preserve"> is his last heroic action before he breaches the walls of Troy and meets his own death. </w:t>
      </w:r>
      <w:r w:rsidR="00F25B1B">
        <w:t xml:space="preserve">This foreshadowing role of the corpse is similar to the </w:t>
      </w:r>
      <w:r w:rsidR="00C13391">
        <w:t xml:space="preserve">meaning </w:t>
      </w:r>
      <w:r w:rsidR="00F25B1B">
        <w:t>behind</w:t>
      </w:r>
      <w:r w:rsidR="00C13391">
        <w:t xml:space="preserve"> the</w:t>
      </w:r>
      <w:r>
        <w:t xml:space="preserve"> </w:t>
      </w:r>
      <w:proofErr w:type="spellStart"/>
      <w:r w:rsidRPr="00265D95">
        <w:rPr>
          <w:i/>
        </w:rPr>
        <w:t>psychostasia</w:t>
      </w:r>
      <w:proofErr w:type="spellEnd"/>
      <w:r>
        <w:t xml:space="preserve"> which </w:t>
      </w:r>
      <w:r w:rsidR="00F25B1B">
        <w:t xml:space="preserve">is </w:t>
      </w:r>
      <w:r>
        <w:t xml:space="preserve">sometimes </w:t>
      </w:r>
      <w:r w:rsidR="00F25B1B">
        <w:t xml:space="preserve">depicted </w:t>
      </w:r>
      <w:r w:rsidR="00B848AE">
        <w:t xml:space="preserve">in </w:t>
      </w:r>
      <w:proofErr w:type="spellStart"/>
      <w:r w:rsidR="00B848AE">
        <w:t>conjuction</w:t>
      </w:r>
      <w:proofErr w:type="spellEnd"/>
      <w:r w:rsidR="00B848AE">
        <w:t xml:space="preserve"> with</w:t>
      </w:r>
      <w:r>
        <w:t xml:space="preserve"> Achilles and </w:t>
      </w:r>
      <w:proofErr w:type="spellStart"/>
      <w:r>
        <w:t>Memnon</w:t>
      </w:r>
      <w:proofErr w:type="spellEnd"/>
      <w:r w:rsidR="00F25B1B">
        <w:t>, where Hermes weighs the souls of the two warriors</w:t>
      </w:r>
      <w:r>
        <w:t>.</w:t>
      </w:r>
      <w:r w:rsidR="00B848AE">
        <w:t xml:space="preserve"> </w:t>
      </w:r>
      <w:r w:rsidR="00FA0078">
        <w:t xml:space="preserve">Although the scales appear to foretell </w:t>
      </w:r>
      <w:proofErr w:type="spellStart"/>
      <w:r w:rsidR="00FA0078">
        <w:t>Memnon’s</w:t>
      </w:r>
      <w:proofErr w:type="spellEnd"/>
      <w:r w:rsidR="00FA0078">
        <w:t xml:space="preserve"> death, </w:t>
      </w:r>
      <w:r w:rsidR="00762938">
        <w:t xml:space="preserve">the device itself symbolizes fate </w:t>
      </w:r>
      <w:r w:rsidR="00FA0078">
        <w:t xml:space="preserve">and reminds the viewer also of Achilles’ imminent demise. The corpse of </w:t>
      </w:r>
      <w:proofErr w:type="spellStart"/>
      <w:r w:rsidR="00FA0078">
        <w:t>Melanippos</w:t>
      </w:r>
      <w:proofErr w:type="spellEnd"/>
      <w:r w:rsidR="00FA0078">
        <w:t xml:space="preserve"> on the Boston 97.368 </w:t>
      </w:r>
      <w:proofErr w:type="spellStart"/>
      <w:r w:rsidR="00FA0078">
        <w:t>krater</w:t>
      </w:r>
      <w:proofErr w:type="spellEnd"/>
      <w:r w:rsidR="00FA0078">
        <w:t xml:space="preserve"> </w:t>
      </w:r>
      <w:r w:rsidR="00ED2FB7">
        <w:t xml:space="preserve">fulfills a similar role, evoking sadness and pity in the viewer and foreshadowing Achilles’ death.  </w:t>
      </w:r>
    </w:p>
    <w:p w:rsidR="00ED2FB7" w:rsidRDefault="00ED2FB7" w:rsidP="00FA0078">
      <w:pPr>
        <w:spacing w:after="0" w:line="240" w:lineRule="auto"/>
        <w:ind w:firstLine="720"/>
      </w:pPr>
      <w:r>
        <w:t xml:space="preserve">The parallelism of the two sides of this vase thus highlights the differences between the two combats. Side B, portraying the combat of </w:t>
      </w:r>
      <w:proofErr w:type="spellStart"/>
      <w:r>
        <w:t>Diomedes</w:t>
      </w:r>
      <w:proofErr w:type="spellEnd"/>
      <w:r>
        <w:t xml:space="preserve"> and Aeneas, is wholly heroic. Though Aphrodite reaches for her in</w:t>
      </w:r>
      <w:r w:rsidR="00444285">
        <w:t xml:space="preserve">jured son, the viewer knows that the wound is not fatal; </w:t>
      </w:r>
      <w:r>
        <w:t xml:space="preserve">both heroes </w:t>
      </w:r>
      <w:r w:rsidR="00444285">
        <w:t>are</w:t>
      </w:r>
      <w:r>
        <w:t xml:space="preserve"> destined to fight another day. On side A, the composition of the duel between Achilles and </w:t>
      </w:r>
      <w:proofErr w:type="spellStart"/>
      <w:r>
        <w:t>Memnon</w:t>
      </w:r>
      <w:proofErr w:type="spellEnd"/>
      <w:r>
        <w:t xml:space="preserve"> has an additional element—</w:t>
      </w:r>
      <w:proofErr w:type="spellStart"/>
      <w:r>
        <w:t>Melanippos</w:t>
      </w:r>
      <w:proofErr w:type="spellEnd"/>
      <w:r>
        <w:t xml:space="preserve">, whose vulnerable and piteous corpse heightens the emotion of the scene and symbolically emphasizes that </w:t>
      </w:r>
      <w:r w:rsidR="000B3C20">
        <w:t>Achilles will soon be occupying a similar position between warriors dueling over his body.</w:t>
      </w:r>
    </w:p>
    <w:p w:rsidR="00711ED8" w:rsidRDefault="00711ED8" w:rsidP="006B5BE6">
      <w:pPr>
        <w:spacing w:after="0" w:line="240" w:lineRule="auto"/>
      </w:pPr>
    </w:p>
    <w:p w:rsidR="00711ED8" w:rsidRDefault="00711ED8" w:rsidP="006B5BE6">
      <w:pPr>
        <w:spacing w:after="0" w:line="240" w:lineRule="auto"/>
      </w:pPr>
    </w:p>
    <w:p w:rsidR="009D50A5" w:rsidRPr="00711ED8" w:rsidRDefault="009D50A5" w:rsidP="00711ED8">
      <w:pPr>
        <w:spacing w:after="0" w:line="240" w:lineRule="auto"/>
        <w:jc w:val="center"/>
        <w:rPr>
          <w:b/>
        </w:rPr>
      </w:pPr>
      <w:r w:rsidRPr="00711ED8">
        <w:rPr>
          <w:b/>
        </w:rPr>
        <w:t>Selected Bibliography</w:t>
      </w:r>
    </w:p>
    <w:p w:rsidR="009D50A5" w:rsidRDefault="009D50A5" w:rsidP="006B5BE6">
      <w:pPr>
        <w:spacing w:after="0" w:line="240" w:lineRule="auto"/>
      </w:pPr>
    </w:p>
    <w:p w:rsidR="009D50A5" w:rsidRDefault="009D50A5" w:rsidP="009D50A5">
      <w:pPr>
        <w:spacing w:after="0" w:line="240" w:lineRule="auto"/>
        <w:ind w:left="720" w:hanging="720"/>
      </w:pPr>
      <w:proofErr w:type="spellStart"/>
      <w:r>
        <w:t>Caskey</w:t>
      </w:r>
      <w:proofErr w:type="spellEnd"/>
      <w:r>
        <w:t xml:space="preserve">, L.D. and J.D. Beazley. </w:t>
      </w:r>
      <w:r w:rsidRPr="003C708B">
        <w:rPr>
          <w:i/>
        </w:rPr>
        <w:t>Attic Vase Paintings in the Museum of Fine Arts, Boston</w:t>
      </w:r>
      <w:r>
        <w:t>. London: Oxford University Press, 1931.</w:t>
      </w:r>
    </w:p>
    <w:p w:rsidR="009D50A5" w:rsidRDefault="009D50A5" w:rsidP="00711ED8">
      <w:pPr>
        <w:spacing w:after="0" w:line="240" w:lineRule="auto"/>
      </w:pPr>
    </w:p>
    <w:p w:rsidR="009D50A5" w:rsidRDefault="009D50A5" w:rsidP="009D50A5">
      <w:pPr>
        <w:spacing w:after="0" w:line="240" w:lineRule="auto"/>
        <w:ind w:left="720" w:hanging="720"/>
      </w:pPr>
      <w:proofErr w:type="spellStart"/>
      <w:r>
        <w:t>Gantz</w:t>
      </w:r>
      <w:proofErr w:type="spellEnd"/>
      <w:r>
        <w:t xml:space="preserve">, Timothy. </w:t>
      </w:r>
      <w:r w:rsidRPr="008A4DF2">
        <w:rPr>
          <w:i/>
        </w:rPr>
        <w:t>Early Greek Myth: A Guide to Literary and Artistic Sources</w:t>
      </w:r>
      <w:r>
        <w:t>. Baltimore: Johns Hopkins University Press, 1993.</w:t>
      </w:r>
    </w:p>
    <w:p w:rsidR="009D50A5" w:rsidRDefault="009D50A5" w:rsidP="009D50A5">
      <w:pPr>
        <w:spacing w:after="0" w:line="240" w:lineRule="auto"/>
        <w:ind w:left="720" w:hanging="720"/>
      </w:pPr>
    </w:p>
    <w:p w:rsidR="009D50A5" w:rsidRDefault="009D50A5" w:rsidP="009D50A5">
      <w:pPr>
        <w:spacing w:after="0" w:line="240" w:lineRule="auto"/>
        <w:ind w:left="720" w:hanging="720"/>
      </w:pPr>
      <w:r>
        <w:t xml:space="preserve">Holliday, Peter J. (ed.) </w:t>
      </w:r>
      <w:r w:rsidRPr="00711ED8">
        <w:rPr>
          <w:i/>
        </w:rPr>
        <w:t>Narrative and Event in Ancient Art</w:t>
      </w:r>
      <w:r>
        <w:t>. Cambridge: Cambridge University Press, 1993.</w:t>
      </w:r>
    </w:p>
    <w:p w:rsidR="009D50A5" w:rsidRDefault="009D50A5" w:rsidP="009D50A5">
      <w:pPr>
        <w:spacing w:after="0" w:line="240" w:lineRule="auto"/>
        <w:ind w:left="720" w:hanging="720"/>
      </w:pPr>
    </w:p>
    <w:p w:rsidR="009D50A5" w:rsidRDefault="009D50A5" w:rsidP="009D50A5">
      <w:pPr>
        <w:spacing w:after="0" w:line="240" w:lineRule="auto"/>
        <w:ind w:left="720" w:hanging="720"/>
      </w:pPr>
      <w:r w:rsidRPr="003C708B">
        <w:rPr>
          <w:i/>
        </w:rPr>
        <w:t xml:space="preserve">Lexicon </w:t>
      </w:r>
      <w:proofErr w:type="spellStart"/>
      <w:r w:rsidRPr="003C708B">
        <w:rPr>
          <w:i/>
        </w:rPr>
        <w:t>Iconographicum</w:t>
      </w:r>
      <w:proofErr w:type="spellEnd"/>
      <w:r w:rsidRPr="003C708B">
        <w:rPr>
          <w:i/>
        </w:rPr>
        <w:t xml:space="preserve"> </w:t>
      </w:r>
      <w:proofErr w:type="spellStart"/>
      <w:r w:rsidRPr="003C708B">
        <w:rPr>
          <w:i/>
        </w:rPr>
        <w:t>Mythologiae</w:t>
      </w:r>
      <w:proofErr w:type="spellEnd"/>
      <w:r w:rsidRPr="003C708B">
        <w:rPr>
          <w:i/>
        </w:rPr>
        <w:t xml:space="preserve"> </w:t>
      </w:r>
      <w:proofErr w:type="spellStart"/>
      <w:r w:rsidRPr="003C708B">
        <w:rPr>
          <w:i/>
        </w:rPr>
        <w:t>Classicae</w:t>
      </w:r>
      <w:proofErr w:type="spellEnd"/>
      <w:r>
        <w:t xml:space="preserve"> Vols. 1 &amp; 2. Zurich: Artemis </w:t>
      </w:r>
      <w:proofErr w:type="spellStart"/>
      <w:r>
        <w:t>Verlag</w:t>
      </w:r>
      <w:proofErr w:type="spellEnd"/>
      <w:r>
        <w:t>, 1981.</w:t>
      </w:r>
    </w:p>
    <w:p w:rsidR="00711ED8" w:rsidRDefault="00711ED8" w:rsidP="009D50A5">
      <w:pPr>
        <w:spacing w:after="0" w:line="240" w:lineRule="auto"/>
        <w:ind w:left="720" w:hanging="720"/>
      </w:pPr>
    </w:p>
    <w:p w:rsidR="00711ED8" w:rsidRDefault="00711ED8" w:rsidP="009D50A5">
      <w:pPr>
        <w:spacing w:after="0" w:line="240" w:lineRule="auto"/>
        <w:ind w:left="720" w:hanging="720"/>
      </w:pPr>
      <w:proofErr w:type="spellStart"/>
      <w:r>
        <w:t>Lowenstam</w:t>
      </w:r>
      <w:proofErr w:type="spellEnd"/>
      <w:r>
        <w:t xml:space="preserve">, Steven. </w:t>
      </w:r>
      <w:r w:rsidR="004E556A">
        <w:t>“</w:t>
      </w:r>
      <w:r>
        <w:t xml:space="preserve">Talking Vases: The Relationship between the Homeric Poems and Archaic Representations of Epic Myth." </w:t>
      </w:r>
      <w:proofErr w:type="spellStart"/>
      <w:r>
        <w:rPr>
          <w:i/>
          <w:iCs/>
        </w:rPr>
        <w:t>TAPhA</w:t>
      </w:r>
      <w:proofErr w:type="spellEnd"/>
      <w:r>
        <w:t xml:space="preserve"> 127 (1997), 21-76</w:t>
      </w:r>
      <w:r w:rsidR="004E556A">
        <w:t>.</w:t>
      </w:r>
    </w:p>
    <w:p w:rsidR="009D50A5" w:rsidRDefault="009D50A5" w:rsidP="009D50A5">
      <w:pPr>
        <w:spacing w:after="0" w:line="240" w:lineRule="auto"/>
        <w:ind w:left="720" w:hanging="720"/>
      </w:pPr>
    </w:p>
    <w:p w:rsidR="009D50A5" w:rsidRDefault="009D50A5" w:rsidP="0006521E">
      <w:pPr>
        <w:spacing w:after="0" w:line="240" w:lineRule="auto"/>
        <w:ind w:left="720" w:hanging="720"/>
      </w:pPr>
      <w:r>
        <w:t xml:space="preserve">Snodgrass, Anthony. </w:t>
      </w:r>
      <w:r w:rsidRPr="00711ED8">
        <w:rPr>
          <w:i/>
        </w:rPr>
        <w:t>Homer and the Artists: Text and Picture in Early Greek Art</w:t>
      </w:r>
      <w:r>
        <w:t>. Cambridge: Cambridge University Press, 1998.</w:t>
      </w:r>
    </w:p>
    <w:sectPr w:rsidR="009D50A5" w:rsidSect="0063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47" w:rsidRDefault="00435D47" w:rsidP="0006521E">
      <w:pPr>
        <w:spacing w:after="0" w:line="240" w:lineRule="auto"/>
      </w:pPr>
      <w:r>
        <w:separator/>
      </w:r>
    </w:p>
  </w:endnote>
  <w:endnote w:type="continuationSeparator" w:id="0">
    <w:p w:rsidR="00435D47" w:rsidRDefault="00435D47" w:rsidP="0006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47" w:rsidRDefault="00435D47" w:rsidP="0006521E">
      <w:pPr>
        <w:spacing w:after="0" w:line="240" w:lineRule="auto"/>
      </w:pPr>
      <w:r>
        <w:separator/>
      </w:r>
    </w:p>
  </w:footnote>
  <w:footnote w:type="continuationSeparator" w:id="0">
    <w:p w:rsidR="00435D47" w:rsidRDefault="00435D47" w:rsidP="0006521E">
      <w:pPr>
        <w:spacing w:after="0" w:line="240" w:lineRule="auto"/>
      </w:pPr>
      <w:r>
        <w:continuationSeparator/>
      </w:r>
    </w:p>
  </w:footnote>
  <w:footnote w:id="1">
    <w:p w:rsidR="0006521E" w:rsidRDefault="000652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556A">
        <w:rPr>
          <w:i/>
        </w:rPr>
        <w:t>Il.</w:t>
      </w:r>
      <w:r>
        <w:t xml:space="preserve"> 5.290-302.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E6"/>
    <w:rsid w:val="0006521E"/>
    <w:rsid w:val="000B3C20"/>
    <w:rsid w:val="00184772"/>
    <w:rsid w:val="00265D95"/>
    <w:rsid w:val="002B058D"/>
    <w:rsid w:val="002C77FF"/>
    <w:rsid w:val="002F518C"/>
    <w:rsid w:val="003319D9"/>
    <w:rsid w:val="00435D47"/>
    <w:rsid w:val="00444285"/>
    <w:rsid w:val="004553DA"/>
    <w:rsid w:val="004E556A"/>
    <w:rsid w:val="00510D11"/>
    <w:rsid w:val="00637789"/>
    <w:rsid w:val="006B5BE6"/>
    <w:rsid w:val="00711ED8"/>
    <w:rsid w:val="0072114D"/>
    <w:rsid w:val="00762938"/>
    <w:rsid w:val="008462C3"/>
    <w:rsid w:val="00935B2D"/>
    <w:rsid w:val="009D50A5"/>
    <w:rsid w:val="00B848AE"/>
    <w:rsid w:val="00C13391"/>
    <w:rsid w:val="00C40147"/>
    <w:rsid w:val="00C465CE"/>
    <w:rsid w:val="00CE28B8"/>
    <w:rsid w:val="00D138C0"/>
    <w:rsid w:val="00EA6027"/>
    <w:rsid w:val="00EC1031"/>
    <w:rsid w:val="00ED2FB7"/>
    <w:rsid w:val="00F25B1B"/>
    <w:rsid w:val="00F44229"/>
    <w:rsid w:val="00F71D01"/>
    <w:rsid w:val="00F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52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2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52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2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80B4-6678-478E-A86B-A1DF1C56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D87C5FCD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2011-09-25T22:43:00Z</dcterms:created>
  <dcterms:modified xsi:type="dcterms:W3CDTF">2011-09-25T22:43:00Z</dcterms:modified>
</cp:coreProperties>
</file>