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79" w:rsidRDefault="00052154" w:rsidP="00300D31">
      <w:pPr>
        <w:jc w:val="center"/>
      </w:pPr>
      <w:r>
        <w:t>Household Mime and the</w:t>
      </w:r>
      <w:r w:rsidR="00300D31">
        <w:t xml:space="preserve"> Structure of Theocritus’ Fifteenth </w:t>
      </w:r>
      <w:r w:rsidR="00300D31" w:rsidRPr="00300D31">
        <w:rPr>
          <w:i/>
        </w:rPr>
        <w:t>Idyll</w:t>
      </w:r>
    </w:p>
    <w:p w:rsidR="00300D31" w:rsidRDefault="00300D31">
      <w:bookmarkStart w:id="0" w:name="_GoBack"/>
      <w:bookmarkEnd w:id="0"/>
    </w:p>
    <w:p w:rsidR="001F16BA" w:rsidRDefault="001F16BA">
      <w:r>
        <w:tab/>
        <w:t xml:space="preserve">Theocritus’ fifteenth </w:t>
      </w:r>
      <w:r>
        <w:rPr>
          <w:i/>
        </w:rPr>
        <w:t>Idyll</w:t>
      </w:r>
      <w:r>
        <w:t xml:space="preserve"> describes the pilgrimage of two </w:t>
      </w:r>
      <w:proofErr w:type="spellStart"/>
      <w:r>
        <w:t>Syracusan</w:t>
      </w:r>
      <w:proofErr w:type="spellEnd"/>
      <w:r>
        <w:t xml:space="preserve"> </w:t>
      </w:r>
      <w:r w:rsidR="007C5CCA">
        <w:t>émigrés</w:t>
      </w:r>
      <w:r>
        <w:t xml:space="preserve">, </w:t>
      </w:r>
      <w:proofErr w:type="spellStart"/>
      <w:r>
        <w:t>Praxinoa</w:t>
      </w:r>
      <w:proofErr w:type="spellEnd"/>
      <w:r>
        <w:t xml:space="preserve"> and </w:t>
      </w:r>
      <w:proofErr w:type="spellStart"/>
      <w:r>
        <w:t>Gorgo</w:t>
      </w:r>
      <w:proofErr w:type="spellEnd"/>
      <w:r>
        <w:t xml:space="preserve">, from the home of the former on the outskirts of Alexandria to the </w:t>
      </w:r>
      <w:proofErr w:type="spellStart"/>
      <w:r w:rsidR="007C5CCA">
        <w:t>Adonia</w:t>
      </w:r>
      <w:proofErr w:type="spellEnd"/>
      <w:r>
        <w:t xml:space="preserve"> in the city</w:t>
      </w:r>
      <w:r w:rsidR="007C5CCA">
        <w:t xml:space="preserve"> center</w:t>
      </w:r>
      <w:r>
        <w:t xml:space="preserve">.  </w:t>
      </w:r>
      <w:proofErr w:type="spellStart"/>
      <w:r w:rsidR="007C5CCA">
        <w:t>Praxinoa</w:t>
      </w:r>
      <w:proofErr w:type="spellEnd"/>
      <w:r w:rsidR="007C5CCA">
        <w:t xml:space="preserve"> and </w:t>
      </w:r>
      <w:proofErr w:type="spellStart"/>
      <w:r w:rsidR="007C5CCA">
        <w:t>Gorgo’s</w:t>
      </w:r>
      <w:proofErr w:type="spellEnd"/>
      <w:r w:rsidR="007C5CCA">
        <w:t xml:space="preserve"> dialogue and the</w:t>
      </w:r>
      <w:r w:rsidR="00481565">
        <w:t>ir</w:t>
      </w:r>
      <w:r w:rsidR="007C5CCA">
        <w:t xml:space="preserve"> interactions with people on the Alexandrian streets comprise the </w:t>
      </w:r>
      <w:r>
        <w:t xml:space="preserve">first two thirds of the poem, and </w:t>
      </w:r>
      <w:r w:rsidR="008849A5">
        <w:t>a</w:t>
      </w:r>
      <w:r w:rsidR="007C5CCA">
        <w:t xml:space="preserve"> hymn to Adonis concludes it</w:t>
      </w:r>
      <w:r>
        <w:t xml:space="preserve">.  This poem poses two major interpretative problems.  First, the generic identification of </w:t>
      </w:r>
      <w:r w:rsidR="007C5CCA">
        <w:rPr>
          <w:i/>
        </w:rPr>
        <w:t>Idyll</w:t>
      </w:r>
      <w:r w:rsidR="007C5CCA">
        <w:t xml:space="preserve"> 15</w:t>
      </w:r>
      <w:r>
        <w:t xml:space="preserve"> has been thrown into doubt.  As Nita </w:t>
      </w:r>
      <w:proofErr w:type="spellStart"/>
      <w:r>
        <w:t>Krevans</w:t>
      </w:r>
      <w:proofErr w:type="spellEnd"/>
      <w:r>
        <w:t xml:space="preserve"> has pointed out, several aspects of Theocritus 15</w:t>
      </w:r>
      <w:r w:rsidR="007C5CCA">
        <w:t xml:space="preserve">, including its multiple settings and embedded </w:t>
      </w:r>
      <w:proofErr w:type="gramStart"/>
      <w:r w:rsidR="007C5CCA">
        <w:t>hymn,</w:t>
      </w:r>
      <w:proofErr w:type="gramEnd"/>
      <w:r w:rsidR="007C5CCA">
        <w:t xml:space="preserve"> </w:t>
      </w:r>
      <w:r>
        <w:t xml:space="preserve">are inconsistent with the rest </w:t>
      </w:r>
      <w:r w:rsidR="007C5CCA">
        <w:t xml:space="preserve">of the mimes of </w:t>
      </w:r>
      <w:proofErr w:type="spellStart"/>
      <w:r w:rsidR="007C5CCA">
        <w:t>Herodas</w:t>
      </w:r>
      <w:proofErr w:type="spellEnd"/>
      <w:r w:rsidR="007C5CCA">
        <w:t xml:space="preserve"> and Theocritus</w:t>
      </w:r>
      <w:r w:rsidR="008849A5">
        <w:t xml:space="preserve"> (</w:t>
      </w:r>
      <w:proofErr w:type="spellStart"/>
      <w:r w:rsidR="008849A5">
        <w:t>Krevans</w:t>
      </w:r>
      <w:proofErr w:type="spellEnd"/>
      <w:r w:rsidR="008849A5">
        <w:t xml:space="preserve"> 2006, 126)</w:t>
      </w:r>
      <w:r>
        <w:t xml:space="preserve">.  </w:t>
      </w:r>
      <w:r w:rsidR="007C5CCA">
        <w:t>Second, this generic (</w:t>
      </w:r>
      <w:proofErr w:type="spellStart"/>
      <w:r w:rsidR="007C5CCA">
        <w:t>mis</w:t>
      </w:r>
      <w:proofErr w:type="spellEnd"/>
      <w:r w:rsidR="007C5CCA">
        <w:t xml:space="preserve">)identification obscures the position of </w:t>
      </w:r>
      <w:r w:rsidR="007C5CCA">
        <w:rPr>
          <w:i/>
        </w:rPr>
        <w:t>Idyll</w:t>
      </w:r>
      <w:r w:rsidR="007C5CCA">
        <w:t xml:space="preserve"> 15 </w:t>
      </w:r>
      <w:r w:rsidR="008849A5">
        <w:t>with</w:t>
      </w:r>
      <w:r w:rsidR="007C5CCA">
        <w:t xml:space="preserve">in the </w:t>
      </w:r>
      <w:proofErr w:type="spellStart"/>
      <w:r w:rsidR="007C5CCA">
        <w:t>Theocritean</w:t>
      </w:r>
      <w:proofErr w:type="spellEnd"/>
      <w:r w:rsidR="007C5CCA">
        <w:t xml:space="preserve"> corpus.  In this paper I will show that a consideration of the formal features of </w:t>
      </w:r>
      <w:proofErr w:type="spellStart"/>
      <w:r w:rsidR="007C5CCA">
        <w:t>Herodas</w:t>
      </w:r>
      <w:proofErr w:type="spellEnd"/>
      <w:r w:rsidR="007C5CCA">
        <w:t xml:space="preserve">’ and Theocritus’ mimic poetry clarifies the genre of </w:t>
      </w:r>
      <w:proofErr w:type="spellStart"/>
      <w:r w:rsidR="007C5CCA">
        <w:t>Theoc</w:t>
      </w:r>
      <w:proofErr w:type="spellEnd"/>
      <w:r w:rsidR="007C5CCA">
        <w:t xml:space="preserve">. 15.  Moreover, </w:t>
      </w:r>
      <w:r w:rsidR="008849A5">
        <w:t xml:space="preserve">once the poem is understood </w:t>
      </w:r>
      <w:r w:rsidR="007C5CCA">
        <w:t xml:space="preserve">to be </w:t>
      </w:r>
      <w:r w:rsidR="008849A5">
        <w:t>n</w:t>
      </w:r>
      <w:r w:rsidR="007C5CCA">
        <w:t xml:space="preserve">either purely mimic </w:t>
      </w:r>
      <w:r w:rsidR="008849A5">
        <w:t>n</w:t>
      </w:r>
      <w:r w:rsidR="007C5CCA">
        <w:t xml:space="preserve">or non-mimic, but rather both mimic and pastoral, its position in the </w:t>
      </w:r>
      <w:proofErr w:type="spellStart"/>
      <w:r w:rsidR="007C5CCA">
        <w:t>Theocritean</w:t>
      </w:r>
      <w:proofErr w:type="spellEnd"/>
      <w:r w:rsidR="007C5CCA">
        <w:t xml:space="preserve"> corpus can be understood as well.  </w:t>
      </w:r>
    </w:p>
    <w:p w:rsidR="00F651C9" w:rsidRPr="00F651C9" w:rsidRDefault="00022BE3" w:rsidP="00E44166">
      <w:r>
        <w:tab/>
        <w:t xml:space="preserve">The generic problem can be solved by setting off the first 43 lines from the rest of the poem.  This section, which I call the </w:t>
      </w:r>
      <w:r>
        <w:rPr>
          <w:i/>
        </w:rPr>
        <w:t>household mime</w:t>
      </w:r>
      <w:r>
        <w:t>, demonstrate</w:t>
      </w:r>
      <w:r w:rsidR="008849A5">
        <w:t>s</w:t>
      </w:r>
      <w:r>
        <w:t xml:space="preserve"> several features which </w:t>
      </w:r>
      <w:r w:rsidR="008849A5">
        <w:t>characterize</w:t>
      </w:r>
      <w:r>
        <w:t xml:space="preserve"> the other mimes of Theocritus and the mimes of </w:t>
      </w:r>
      <w:proofErr w:type="spellStart"/>
      <w:r>
        <w:t>Herodas</w:t>
      </w:r>
      <w:proofErr w:type="spellEnd"/>
      <w:r>
        <w:t xml:space="preserve">.  </w:t>
      </w:r>
      <w:r w:rsidR="00E44166">
        <w:t xml:space="preserve">There are only two speakers, </w:t>
      </w:r>
      <w:proofErr w:type="spellStart"/>
      <w:r w:rsidR="00E44166">
        <w:t>Praxinoa</w:t>
      </w:r>
      <w:proofErr w:type="spellEnd"/>
      <w:r w:rsidR="00E44166">
        <w:t xml:space="preserve"> and </w:t>
      </w:r>
      <w:proofErr w:type="spellStart"/>
      <w:r w:rsidR="00E44166">
        <w:t>Gorgo</w:t>
      </w:r>
      <w:proofErr w:type="spellEnd"/>
      <w:r w:rsidR="00E44166">
        <w:t xml:space="preserve">. We might note that in lines 26-33, </w:t>
      </w:r>
      <w:proofErr w:type="spellStart"/>
      <w:r w:rsidR="00E44166">
        <w:t>Praxinoa</w:t>
      </w:r>
      <w:proofErr w:type="spellEnd"/>
      <w:r w:rsidR="00E44166">
        <w:t xml:space="preserve"> berates her silent handmaid, </w:t>
      </w:r>
      <w:proofErr w:type="spellStart"/>
      <w:r w:rsidR="00E44166">
        <w:t>Eunoa</w:t>
      </w:r>
      <w:proofErr w:type="spellEnd"/>
      <w:r w:rsidR="00E44166">
        <w:t>, whose reticence confirms Theocritus’ interest in limiting the number of speaking roles and conforming to the generic norm in this part of his poem.  This section also</w:t>
      </w:r>
      <w:r>
        <w:t xml:space="preserve"> begins with a greeting scene which establishes the setting o</w:t>
      </w:r>
      <w:r w:rsidR="00E44166">
        <w:t xml:space="preserve">f dialogue (Herod. 1, 4, 6, 7).  And like most surviving Hellenistic mime, this section </w:t>
      </w:r>
      <w:r>
        <w:t xml:space="preserve">ends with </w:t>
      </w:r>
      <w:r w:rsidR="00E44166">
        <w:t xml:space="preserve">the abandonment of the setting of the dialogue, when </w:t>
      </w:r>
      <w:proofErr w:type="spellStart"/>
      <w:r w:rsidR="00E44166">
        <w:t>Praxinoa</w:t>
      </w:r>
      <w:proofErr w:type="spellEnd"/>
      <w:r w:rsidR="00E44166">
        <w:t xml:space="preserve"> tells her slave to lock the door of the house as she and </w:t>
      </w:r>
      <w:proofErr w:type="spellStart"/>
      <w:r w:rsidR="00E44166">
        <w:t>Gorgo</w:t>
      </w:r>
      <w:proofErr w:type="spellEnd"/>
      <w:r w:rsidR="00E44166">
        <w:t xml:space="preserve"> are departing (Herod. 1, 3, 4, 5, 6, 7).  </w:t>
      </w:r>
    </w:p>
    <w:p w:rsidR="00FC1ADE" w:rsidRDefault="00074F25" w:rsidP="00074F25">
      <w:pPr>
        <w:ind w:firstLine="720"/>
      </w:pPr>
      <w:r>
        <w:t xml:space="preserve">The generic consistency of these first 43 lines sets the household mime off from the rest of the poem.   What follows is </w:t>
      </w:r>
      <w:r w:rsidR="00E44166">
        <w:t>a scene set in the anarchic</w:t>
      </w:r>
      <w:r>
        <w:t xml:space="preserve"> streets of Alexandria, comprised of </w:t>
      </w:r>
      <w:r w:rsidR="008F441E">
        <w:t>successive</w:t>
      </w:r>
      <w:r>
        <w:t xml:space="preserve"> encounters with a generous old woman</w:t>
      </w:r>
      <w:r w:rsidR="007770E9">
        <w:t xml:space="preserve"> (15.60-64)</w:t>
      </w:r>
      <w:r>
        <w:t>, a contrite, clumsy man</w:t>
      </w:r>
      <w:r w:rsidR="007770E9">
        <w:t xml:space="preserve"> (15.72-75)</w:t>
      </w:r>
      <w:r>
        <w:t xml:space="preserve">, and finally, in the temple </w:t>
      </w:r>
      <w:r w:rsidR="00E44166">
        <w:t>precinct</w:t>
      </w:r>
      <w:r>
        <w:t>, an obnoxious xenophobe</w:t>
      </w:r>
      <w:r w:rsidR="007770E9">
        <w:t xml:space="preserve"> (15-87-95)</w:t>
      </w:r>
      <w:r>
        <w:t xml:space="preserve">.  The range of characterization and the variety of dialogue point to the deliberate breaking of mimic convention.  </w:t>
      </w:r>
      <w:proofErr w:type="gramStart"/>
      <w:r>
        <w:t xml:space="preserve">The central section of </w:t>
      </w:r>
      <w:proofErr w:type="spellStart"/>
      <w:r>
        <w:t>Theoc</w:t>
      </w:r>
      <w:proofErr w:type="spellEnd"/>
      <w:r>
        <w:t>.</w:t>
      </w:r>
      <w:proofErr w:type="gramEnd"/>
      <w:r>
        <w:t xml:space="preserve"> 15 </w:t>
      </w:r>
      <w:proofErr w:type="gramStart"/>
      <w:r>
        <w:t>throws</w:t>
      </w:r>
      <w:proofErr w:type="gramEnd"/>
      <w:r>
        <w:t xml:space="preserve"> this poem, which had begun so peacefully in the home of </w:t>
      </w:r>
      <w:proofErr w:type="spellStart"/>
      <w:r>
        <w:t>Praxinoa</w:t>
      </w:r>
      <w:proofErr w:type="spellEnd"/>
      <w:r>
        <w:t>, into complete disarray, an effect that is relieved only when the performance of the Adonis hymn begins</w:t>
      </w:r>
      <w:r w:rsidR="007770E9">
        <w:t xml:space="preserve"> (15.100)</w:t>
      </w:r>
      <w:r>
        <w:t>.</w:t>
      </w:r>
      <w:r w:rsidR="00B4687D">
        <w:t xml:space="preserve">  Having established that Theo</w:t>
      </w:r>
      <w:r w:rsidR="007770E9">
        <w:t>critus constructs a formally mimic section only to leave it behind</w:t>
      </w:r>
      <w:r w:rsidR="00B4687D">
        <w:t xml:space="preserve">, it is left to determine what this generic structure says about the place of </w:t>
      </w:r>
      <w:proofErr w:type="spellStart"/>
      <w:r w:rsidR="00B4687D">
        <w:t>Theoc</w:t>
      </w:r>
      <w:proofErr w:type="spellEnd"/>
      <w:r w:rsidR="00B4687D">
        <w:t xml:space="preserve">. </w:t>
      </w:r>
      <w:proofErr w:type="gramStart"/>
      <w:r w:rsidR="00B4687D">
        <w:t>15 in the author’s corpus.</w:t>
      </w:r>
      <w:proofErr w:type="gramEnd"/>
    </w:p>
    <w:p w:rsidR="00B4687D" w:rsidRDefault="007770E9" w:rsidP="00074F25">
      <w:pPr>
        <w:ind w:firstLine="720"/>
      </w:pPr>
      <w:proofErr w:type="gramStart"/>
      <w:r>
        <w:t xml:space="preserve">According to Nita </w:t>
      </w:r>
      <w:proofErr w:type="spellStart"/>
      <w:r>
        <w:t>Krevans</w:t>
      </w:r>
      <w:proofErr w:type="spellEnd"/>
      <w:r>
        <w:t xml:space="preserve">, the prominence of Adonis, the archetypical mythical herdsman, in the concluding section of </w:t>
      </w:r>
      <w:proofErr w:type="spellStart"/>
      <w:r>
        <w:t>Theoc</w:t>
      </w:r>
      <w:proofErr w:type="spellEnd"/>
      <w:r>
        <w:t>.</w:t>
      </w:r>
      <w:proofErr w:type="gramEnd"/>
      <w:r>
        <w:t xml:space="preserve"> 15 </w:t>
      </w:r>
      <w:proofErr w:type="gramStart"/>
      <w:r>
        <w:t>introduces</w:t>
      </w:r>
      <w:proofErr w:type="gramEnd"/>
      <w:r>
        <w:t xml:space="preserve"> an element of the pastoral into the poem</w:t>
      </w:r>
      <w:r w:rsidR="00481565">
        <w:t xml:space="preserve"> (</w:t>
      </w:r>
      <w:proofErr w:type="spellStart"/>
      <w:r w:rsidR="00481565">
        <w:t>Krevans</w:t>
      </w:r>
      <w:proofErr w:type="spellEnd"/>
      <w:r w:rsidR="00481565">
        <w:t xml:space="preserve"> 2006, 129).</w:t>
      </w:r>
      <w:r w:rsidR="00B4687D">
        <w:t xml:space="preserve">  </w:t>
      </w:r>
      <w:r>
        <w:t xml:space="preserve">This is a particularly apt observation, since the </w:t>
      </w:r>
      <w:proofErr w:type="spellStart"/>
      <w:r>
        <w:t>ecphrastic</w:t>
      </w:r>
      <w:proofErr w:type="spellEnd"/>
      <w:r>
        <w:t xml:space="preserve"> section which precedes the hymn recalls Theocritus’ very bucolic </w:t>
      </w:r>
      <w:r>
        <w:rPr>
          <w:i/>
        </w:rPr>
        <w:t>Idyll</w:t>
      </w:r>
      <w:r w:rsidR="008849A5">
        <w:rPr>
          <w:i/>
        </w:rPr>
        <w:t xml:space="preserve"> </w:t>
      </w:r>
      <w:r>
        <w:t xml:space="preserve">1, which is comprised of an </w:t>
      </w:r>
      <w:proofErr w:type="spellStart"/>
      <w:r>
        <w:t>ecphrasis</w:t>
      </w:r>
      <w:proofErr w:type="spellEnd"/>
      <w:r>
        <w:t xml:space="preserve"> followed by </w:t>
      </w:r>
      <w:r w:rsidR="00052154">
        <w:t xml:space="preserve">a </w:t>
      </w:r>
      <w:r>
        <w:t xml:space="preserve">pastoral song </w:t>
      </w:r>
      <w:r w:rsidR="00052154">
        <w:t>that</w:t>
      </w:r>
      <w:r>
        <w:t xml:space="preserve"> overlaps thematically with the content of the </w:t>
      </w:r>
      <w:proofErr w:type="spellStart"/>
      <w:r>
        <w:t>ecphrasis</w:t>
      </w:r>
      <w:proofErr w:type="spellEnd"/>
      <w:r>
        <w:t xml:space="preserve">.  </w:t>
      </w:r>
      <w:r w:rsidR="00052154">
        <w:t>In terms of structure</w:t>
      </w:r>
      <w:r w:rsidR="005A13C4">
        <w:t xml:space="preserve">, we have </w:t>
      </w:r>
      <w:r>
        <w:t>here</w:t>
      </w:r>
      <w:r w:rsidR="005A13C4">
        <w:t xml:space="preserve"> a poem </w:t>
      </w:r>
      <w:r>
        <w:t>that</w:t>
      </w:r>
      <w:r w:rsidR="005A13C4">
        <w:t xml:space="preserve"> begins with a pure mime and ends </w:t>
      </w:r>
      <w:r w:rsidR="005A13C4">
        <w:lastRenderedPageBreak/>
        <w:t xml:space="preserve">with a pastoral scene.  </w:t>
      </w:r>
      <w:r>
        <w:t xml:space="preserve">This structure is especially important for two reasons.  First, </w:t>
      </w:r>
      <w:r w:rsidR="005A13C4">
        <w:t xml:space="preserve">the pilgrimage of </w:t>
      </w:r>
      <w:proofErr w:type="spellStart"/>
      <w:r w:rsidR="005A13C4">
        <w:t>Praxinoa</w:t>
      </w:r>
      <w:proofErr w:type="spellEnd"/>
      <w:r w:rsidR="005A13C4">
        <w:t xml:space="preserve"> and </w:t>
      </w:r>
      <w:proofErr w:type="spellStart"/>
      <w:r w:rsidR="005A13C4">
        <w:t>Gorgo</w:t>
      </w:r>
      <w:proofErr w:type="spellEnd"/>
      <w:r>
        <w:t xml:space="preserve"> to the </w:t>
      </w:r>
      <w:proofErr w:type="spellStart"/>
      <w:r>
        <w:t>Adonia</w:t>
      </w:r>
      <w:proofErr w:type="spellEnd"/>
      <w:r w:rsidR="005A13C4">
        <w:t xml:space="preserve"> has been cast as a sort of </w:t>
      </w:r>
      <w:r w:rsidR="00481565">
        <w:t>metaphor</w:t>
      </w:r>
      <w:r w:rsidR="005A13C4">
        <w:t xml:space="preserve"> for their immigration from Syracuse </w:t>
      </w:r>
      <w:r w:rsidR="008F441E">
        <w:t xml:space="preserve">to Alexandria </w:t>
      </w:r>
      <w:r w:rsidR="005A13C4">
        <w:t>(15.8-10)</w:t>
      </w:r>
      <w:r w:rsidR="00481565">
        <w:t>.  Second,</w:t>
      </w:r>
      <w:r w:rsidR="00FC1912">
        <w:t xml:space="preserve"> Theocritus </w:t>
      </w:r>
      <w:r w:rsidR="008F441E">
        <w:t xml:space="preserve">himself was a </w:t>
      </w:r>
      <w:proofErr w:type="spellStart"/>
      <w:r w:rsidR="008F441E">
        <w:t>Syracusan</w:t>
      </w:r>
      <w:proofErr w:type="spellEnd"/>
      <w:r w:rsidR="008F441E">
        <w:t xml:space="preserve"> poet w</w:t>
      </w:r>
      <w:r w:rsidR="00FC1912">
        <w:t>ho had taken as one of his primary literary models the 5</w:t>
      </w:r>
      <w:r w:rsidR="00FC1912" w:rsidRPr="00FC1912">
        <w:rPr>
          <w:vertAlign w:val="superscript"/>
        </w:rPr>
        <w:t>th</w:t>
      </w:r>
      <w:r w:rsidR="00FC1912">
        <w:t xml:space="preserve">-century </w:t>
      </w:r>
      <w:proofErr w:type="spellStart"/>
      <w:r w:rsidR="00FC1912">
        <w:t>Syracusan</w:t>
      </w:r>
      <w:proofErr w:type="spellEnd"/>
      <w:r w:rsidR="00FC1912">
        <w:t xml:space="preserve"> </w:t>
      </w:r>
      <w:proofErr w:type="spellStart"/>
      <w:r w:rsidR="00FC1912">
        <w:t>mimeographer</w:t>
      </w:r>
      <w:proofErr w:type="spellEnd"/>
      <w:r w:rsidR="00FC1912">
        <w:t xml:space="preserve"> </w:t>
      </w:r>
      <w:proofErr w:type="spellStart"/>
      <w:r w:rsidR="00FC1912">
        <w:t>Sophron</w:t>
      </w:r>
      <w:proofErr w:type="spellEnd"/>
      <w:r w:rsidR="005A13C4">
        <w:t>.</w:t>
      </w:r>
      <w:r w:rsidR="00FC1912">
        <w:t xml:space="preserve">  So, rather than attempting to assign the fifteenth</w:t>
      </w:r>
      <w:r w:rsidR="00FC1912">
        <w:rPr>
          <w:i/>
        </w:rPr>
        <w:t xml:space="preserve"> Idyll</w:t>
      </w:r>
      <w:r w:rsidR="00FC1912">
        <w:t xml:space="preserve"> to a single genre, we should recognize that it is bookended on one side by a scene which represents </w:t>
      </w:r>
      <w:r w:rsidR="00481565">
        <w:t>the poet’s</w:t>
      </w:r>
      <w:r w:rsidR="00FC1912">
        <w:t xml:space="preserve"> local, literary heritage, and on the other side by a scene which represents the bucolic poet that he would become as a member of the Alexandrian literary community</w:t>
      </w:r>
      <w:r w:rsidR="00481565">
        <w:t>, and so</w:t>
      </w:r>
      <w:r w:rsidR="00FC1912">
        <w:t xml:space="preserve"> metaphorically </w:t>
      </w:r>
      <w:r w:rsidR="005923A0">
        <w:t>depicts</w:t>
      </w:r>
      <w:r w:rsidR="00481565">
        <w:t>, in the pilgrimage of two women through the hectic streets of Alexandria,</w:t>
      </w:r>
      <w:r w:rsidR="005923A0">
        <w:t xml:space="preserve"> the process of becoming a Hellenistic poet.</w:t>
      </w:r>
    </w:p>
    <w:p w:rsidR="00481565" w:rsidRDefault="00481565" w:rsidP="00074F25">
      <w:pPr>
        <w:ind w:firstLine="720"/>
      </w:pPr>
    </w:p>
    <w:p w:rsidR="00481565" w:rsidRDefault="00481565" w:rsidP="00481565">
      <w:r>
        <w:t>Works Cited:</w:t>
      </w:r>
    </w:p>
    <w:p w:rsidR="00481565" w:rsidRPr="00481565" w:rsidRDefault="00481565" w:rsidP="00052154">
      <w:pPr>
        <w:ind w:left="720" w:hanging="720"/>
      </w:pPr>
      <w:proofErr w:type="spellStart"/>
      <w:proofErr w:type="gramStart"/>
      <w:r>
        <w:t>Krevans</w:t>
      </w:r>
      <w:proofErr w:type="spellEnd"/>
      <w:r>
        <w:t>, N. 2006.</w:t>
      </w:r>
      <w:proofErr w:type="gramEnd"/>
      <w:r>
        <w:t xml:space="preserve"> “Is there Urban Pastoral? </w:t>
      </w:r>
      <w:proofErr w:type="gramStart"/>
      <w:r>
        <w:t xml:space="preserve">The Case of Theocritus’ </w:t>
      </w:r>
      <w:r>
        <w:rPr>
          <w:i/>
        </w:rPr>
        <w:t>Id</w:t>
      </w:r>
      <w:r>
        <w:t>. 15.”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</w:rPr>
        <w:t>Brill’s Companion to Greek and Latin Pastoral</w:t>
      </w:r>
      <w:r>
        <w:t>.</w:t>
      </w:r>
      <w:proofErr w:type="gramEnd"/>
      <w:r>
        <w:t xml:space="preserve">  </w:t>
      </w:r>
      <w:proofErr w:type="gramStart"/>
      <w:r>
        <w:t>ed</w:t>
      </w:r>
      <w:proofErr w:type="gramEnd"/>
      <w:r>
        <w:t xml:space="preserve">. M. </w:t>
      </w:r>
      <w:proofErr w:type="spellStart"/>
      <w:r>
        <w:t>Fantuzzi</w:t>
      </w:r>
      <w:proofErr w:type="spellEnd"/>
      <w:r>
        <w:t xml:space="preserve"> and T. </w:t>
      </w:r>
      <w:proofErr w:type="spellStart"/>
      <w:r>
        <w:t>Papanghelis</w:t>
      </w:r>
      <w:proofErr w:type="spellEnd"/>
      <w:r>
        <w:t xml:space="preserve">, </w:t>
      </w:r>
      <w:r w:rsidR="008849A5">
        <w:t>119-146</w:t>
      </w:r>
      <w:r>
        <w:t>. Leiden: Brill.</w:t>
      </w:r>
    </w:p>
    <w:sectPr w:rsidR="00481565" w:rsidRPr="00481565" w:rsidSect="002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F1" w:rsidRDefault="00337DF1" w:rsidP="00EB5442">
      <w:pPr>
        <w:spacing w:line="240" w:lineRule="auto"/>
      </w:pPr>
      <w:r>
        <w:separator/>
      </w:r>
    </w:p>
  </w:endnote>
  <w:endnote w:type="continuationSeparator" w:id="0">
    <w:p w:rsidR="00337DF1" w:rsidRDefault="00337DF1" w:rsidP="00EB5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F1" w:rsidRDefault="00337DF1" w:rsidP="00EB5442">
      <w:pPr>
        <w:spacing w:line="240" w:lineRule="auto"/>
      </w:pPr>
      <w:r>
        <w:separator/>
      </w:r>
    </w:p>
  </w:footnote>
  <w:footnote w:type="continuationSeparator" w:id="0">
    <w:p w:rsidR="00337DF1" w:rsidRDefault="00337DF1" w:rsidP="00EB54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C42"/>
    <w:multiLevelType w:val="hybridMultilevel"/>
    <w:tmpl w:val="893A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31"/>
    <w:rsid w:val="0002122E"/>
    <w:rsid w:val="00022BE3"/>
    <w:rsid w:val="0003227B"/>
    <w:rsid w:val="00052154"/>
    <w:rsid w:val="00066869"/>
    <w:rsid w:val="00067B37"/>
    <w:rsid w:val="00074F25"/>
    <w:rsid w:val="001270E3"/>
    <w:rsid w:val="00155C68"/>
    <w:rsid w:val="001E6EA6"/>
    <w:rsid w:val="001F16BA"/>
    <w:rsid w:val="00257CAF"/>
    <w:rsid w:val="00265A79"/>
    <w:rsid w:val="00284FBE"/>
    <w:rsid w:val="00291A26"/>
    <w:rsid w:val="00300D31"/>
    <w:rsid w:val="0031136F"/>
    <w:rsid w:val="0033790F"/>
    <w:rsid w:val="00337DF1"/>
    <w:rsid w:val="00350688"/>
    <w:rsid w:val="00355F39"/>
    <w:rsid w:val="003626DF"/>
    <w:rsid w:val="00372999"/>
    <w:rsid w:val="003D533C"/>
    <w:rsid w:val="00405845"/>
    <w:rsid w:val="00412A44"/>
    <w:rsid w:val="0045553A"/>
    <w:rsid w:val="00471951"/>
    <w:rsid w:val="00481565"/>
    <w:rsid w:val="004C62FA"/>
    <w:rsid w:val="004F3EEA"/>
    <w:rsid w:val="0050525D"/>
    <w:rsid w:val="005521D2"/>
    <w:rsid w:val="0055408D"/>
    <w:rsid w:val="00554D1C"/>
    <w:rsid w:val="00565E4C"/>
    <w:rsid w:val="005923A0"/>
    <w:rsid w:val="005A13C4"/>
    <w:rsid w:val="005D601D"/>
    <w:rsid w:val="005E1F17"/>
    <w:rsid w:val="005E3DC7"/>
    <w:rsid w:val="005E5397"/>
    <w:rsid w:val="006A0E5C"/>
    <w:rsid w:val="006D29B9"/>
    <w:rsid w:val="00713BA6"/>
    <w:rsid w:val="00763C8A"/>
    <w:rsid w:val="00774269"/>
    <w:rsid w:val="007770E9"/>
    <w:rsid w:val="00780295"/>
    <w:rsid w:val="007C5CCA"/>
    <w:rsid w:val="007D2686"/>
    <w:rsid w:val="0082199F"/>
    <w:rsid w:val="0085065C"/>
    <w:rsid w:val="008849A5"/>
    <w:rsid w:val="008B4FB7"/>
    <w:rsid w:val="008C1C34"/>
    <w:rsid w:val="008E1700"/>
    <w:rsid w:val="008E531B"/>
    <w:rsid w:val="008E7424"/>
    <w:rsid w:val="008F441E"/>
    <w:rsid w:val="009A779B"/>
    <w:rsid w:val="009B20F6"/>
    <w:rsid w:val="009E761D"/>
    <w:rsid w:val="009F777B"/>
    <w:rsid w:val="00A04CAB"/>
    <w:rsid w:val="00A20417"/>
    <w:rsid w:val="00A25574"/>
    <w:rsid w:val="00A35F68"/>
    <w:rsid w:val="00A409F7"/>
    <w:rsid w:val="00A73F94"/>
    <w:rsid w:val="00A92615"/>
    <w:rsid w:val="00AA0C5C"/>
    <w:rsid w:val="00B162B6"/>
    <w:rsid w:val="00B4687D"/>
    <w:rsid w:val="00B551F2"/>
    <w:rsid w:val="00B712EF"/>
    <w:rsid w:val="00B72152"/>
    <w:rsid w:val="00B91E0F"/>
    <w:rsid w:val="00B93D33"/>
    <w:rsid w:val="00C06DEA"/>
    <w:rsid w:val="00C16AE8"/>
    <w:rsid w:val="00C828A8"/>
    <w:rsid w:val="00C93B9E"/>
    <w:rsid w:val="00CA266D"/>
    <w:rsid w:val="00CC74A9"/>
    <w:rsid w:val="00CE08B8"/>
    <w:rsid w:val="00D127C2"/>
    <w:rsid w:val="00D31AC1"/>
    <w:rsid w:val="00D450FE"/>
    <w:rsid w:val="00D63367"/>
    <w:rsid w:val="00D715C8"/>
    <w:rsid w:val="00D71D96"/>
    <w:rsid w:val="00DB64BD"/>
    <w:rsid w:val="00DF772B"/>
    <w:rsid w:val="00E07A7E"/>
    <w:rsid w:val="00E1303D"/>
    <w:rsid w:val="00E44166"/>
    <w:rsid w:val="00E60BC9"/>
    <w:rsid w:val="00EB3D04"/>
    <w:rsid w:val="00EB5442"/>
    <w:rsid w:val="00F000A1"/>
    <w:rsid w:val="00F009E8"/>
    <w:rsid w:val="00F3510C"/>
    <w:rsid w:val="00F651C9"/>
    <w:rsid w:val="00F671C0"/>
    <w:rsid w:val="00F92B91"/>
    <w:rsid w:val="00FB5359"/>
    <w:rsid w:val="00FC1912"/>
    <w:rsid w:val="00FC1ADE"/>
    <w:rsid w:val="00F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9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42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44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44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442"/>
    <w:rPr>
      <w:vertAlign w:val="superscript"/>
    </w:rPr>
  </w:style>
  <w:style w:type="table" w:styleId="TableGrid">
    <w:name w:val="Table Grid"/>
    <w:basedOn w:val="TableNormal"/>
    <w:uiPriority w:val="59"/>
    <w:rsid w:val="009E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9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42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44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44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442"/>
    <w:rPr>
      <w:vertAlign w:val="superscript"/>
    </w:rPr>
  </w:style>
  <w:style w:type="table" w:styleId="TableGrid">
    <w:name w:val="Table Grid"/>
    <w:basedOn w:val="TableNormal"/>
    <w:uiPriority w:val="59"/>
    <w:rsid w:val="009E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4C32-E771-4803-9123-BE8B0D28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18097931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2011-09-24T03:44:00Z</cp:lastPrinted>
  <dcterms:created xsi:type="dcterms:W3CDTF">2011-09-26T02:46:00Z</dcterms:created>
  <dcterms:modified xsi:type="dcterms:W3CDTF">2011-09-26T02:46:00Z</dcterms:modified>
</cp:coreProperties>
</file>