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CD" w:rsidRPr="00D742A6" w:rsidRDefault="00B67E95" w:rsidP="00867CF5">
      <w:pPr>
        <w:jc w:val="center"/>
      </w:pPr>
      <w:r w:rsidRPr="00D742A6">
        <w:t>Herodotus’ Athenian Nomads</w:t>
      </w:r>
    </w:p>
    <w:p w:rsidR="00B67E95" w:rsidRPr="00867CF5" w:rsidRDefault="00B67E95" w:rsidP="00C10E58">
      <w:pPr>
        <w:spacing w:line="480" w:lineRule="auto"/>
      </w:pPr>
    </w:p>
    <w:p w:rsidR="00F47E06" w:rsidRPr="00867CF5" w:rsidRDefault="00F47E06" w:rsidP="00867CF5">
      <w:pPr>
        <w:spacing w:line="480" w:lineRule="auto"/>
        <w:ind w:firstLine="720"/>
      </w:pPr>
      <w:r w:rsidRPr="00867CF5">
        <w:t xml:space="preserve">In 480 BCE, the Athenians abandoned their homes and </w:t>
      </w:r>
      <w:r w:rsidR="00200B91" w:rsidRPr="00867CF5">
        <w:t>t</w:t>
      </w:r>
      <w:bookmarkStart w:id="0" w:name="_GoBack"/>
      <w:bookmarkEnd w:id="0"/>
      <w:r w:rsidR="00200B91" w:rsidRPr="00867CF5">
        <w:t>erritory</w:t>
      </w:r>
      <w:r w:rsidRPr="00867CF5">
        <w:t xml:space="preserve"> to fight Xerxes at Salamis; in a famous passage, Herodotus praises the Athenians for their courageous action, saying that the war could not have been won without </w:t>
      </w:r>
      <w:r w:rsidR="00CA331D" w:rsidRPr="00867CF5">
        <w:t>it</w:t>
      </w:r>
      <w:r w:rsidR="00573575" w:rsidRPr="00867CF5">
        <w:t xml:space="preserve"> (7.</w:t>
      </w:r>
      <w:r w:rsidR="003627F0" w:rsidRPr="00867CF5">
        <w:t>139</w:t>
      </w:r>
      <w:r w:rsidR="00573575" w:rsidRPr="00867CF5">
        <w:t>)</w:t>
      </w:r>
      <w:r w:rsidRPr="00867CF5">
        <w:t xml:space="preserve">. What has </w:t>
      </w:r>
      <w:r w:rsidR="00700A52" w:rsidRPr="00867CF5">
        <w:t>not been fully appreciated</w:t>
      </w:r>
      <w:r w:rsidRPr="00867CF5">
        <w:t xml:space="preserve"> is a parallel with Herodotus’ equally famous Scythian ethnography: the Scythians, too, could not be defeated by Darius precisely because they were nomads (4.46).</w:t>
      </w:r>
      <w:r w:rsidR="003627F0" w:rsidRPr="00867CF5">
        <w:t xml:space="preserve"> Herodotus admires the Scythians for developing the ability to evade any attacker;</w:t>
      </w:r>
      <w:r w:rsidR="00573575" w:rsidRPr="00867CF5">
        <w:t xml:space="preserve"> </w:t>
      </w:r>
      <w:r w:rsidR="003627F0" w:rsidRPr="00867CF5">
        <w:t>the Athenians, the historian</w:t>
      </w:r>
      <w:r w:rsidR="00573575" w:rsidRPr="00867CF5">
        <w:t xml:space="preserve"> implies, defeated Xerxes </w:t>
      </w:r>
      <w:r w:rsidR="003627F0" w:rsidRPr="00867CF5">
        <w:t xml:space="preserve">in a similar manner, </w:t>
      </w:r>
      <w:r w:rsidR="00573575" w:rsidRPr="00867CF5">
        <w:t>by abandoning their territorial rootedness and becoming nomads.</w:t>
      </w:r>
    </w:p>
    <w:p w:rsidR="00573575" w:rsidRPr="00867CF5" w:rsidRDefault="00573575" w:rsidP="00867CF5">
      <w:pPr>
        <w:spacing w:line="480" w:lineRule="auto"/>
        <w:ind w:firstLine="720"/>
        <w:rPr>
          <w:b/>
        </w:rPr>
      </w:pPr>
      <w:r w:rsidRPr="00867CF5">
        <w:t>Scholars</w:t>
      </w:r>
      <w:r w:rsidR="0063720D" w:rsidRPr="00867CF5">
        <w:t xml:space="preserve"> (e.g., </w:t>
      </w:r>
      <w:proofErr w:type="spellStart"/>
      <w:r w:rsidR="0063720D" w:rsidRPr="00867CF5">
        <w:t>Hartog</w:t>
      </w:r>
      <w:proofErr w:type="spellEnd"/>
      <w:r w:rsidR="00B07717" w:rsidRPr="00867CF5">
        <w:t xml:space="preserve"> 1988</w:t>
      </w:r>
      <w:r w:rsidR="0063720D" w:rsidRPr="00867CF5">
        <w:t>,</w:t>
      </w:r>
      <w:r w:rsidR="00E76E98" w:rsidRPr="00867CF5">
        <w:t xml:space="preserve"> </w:t>
      </w:r>
      <w:proofErr w:type="spellStart"/>
      <w:r w:rsidR="00E76E98" w:rsidRPr="00867CF5">
        <w:t>Payen</w:t>
      </w:r>
      <w:proofErr w:type="spellEnd"/>
      <w:r w:rsidR="00E76E98" w:rsidRPr="00867CF5">
        <w:t xml:space="preserve"> 1997,</w:t>
      </w:r>
      <w:r w:rsidR="0063720D" w:rsidRPr="00867CF5">
        <w:t xml:space="preserve"> </w:t>
      </w:r>
      <w:proofErr w:type="spellStart"/>
      <w:r w:rsidR="0063720D" w:rsidRPr="00867CF5">
        <w:t>Corcella</w:t>
      </w:r>
      <w:proofErr w:type="spellEnd"/>
      <w:r w:rsidR="002D60E0" w:rsidRPr="00867CF5">
        <w:t xml:space="preserve"> 2007</w:t>
      </w:r>
      <w:r w:rsidR="0063720D" w:rsidRPr="00867CF5">
        <w:t>)</w:t>
      </w:r>
      <w:r w:rsidRPr="00867CF5">
        <w:t xml:space="preserve"> have long noted that the carefully planned architecture of Herodotus’ work places Darius’ expedition against the Scythians closely in parallel with Xerxes’ invasion of Greece, and that the former – Persia’s first crossing into Europe – provides numerous precedents for the latter. Both Persian kings c</w:t>
      </w:r>
      <w:r w:rsidR="00EA7A2D" w:rsidRPr="00867CF5">
        <w:t>ross</w:t>
      </w:r>
      <w:r w:rsidRPr="00867CF5">
        <w:t xml:space="preserve"> major waterway</w:t>
      </w:r>
      <w:r w:rsidR="00EA7A2D" w:rsidRPr="00867CF5">
        <w:t>s</w:t>
      </w:r>
      <w:r w:rsidRPr="00867CF5">
        <w:t>, engage in hubristic acts, and aim at tot</w:t>
      </w:r>
      <w:r w:rsidR="00CA331D" w:rsidRPr="00867CF5">
        <w:t>al subjugation of their targets; both expeditions end in total failure.</w:t>
      </w:r>
      <w:r w:rsidR="0063720D" w:rsidRPr="00867CF5">
        <w:t xml:space="preserve"> Moreover, the historian has </w:t>
      </w:r>
      <w:proofErr w:type="spellStart"/>
      <w:r w:rsidR="0063720D" w:rsidRPr="00867CF5">
        <w:t>Artabanus</w:t>
      </w:r>
      <w:proofErr w:type="spellEnd"/>
      <w:r w:rsidR="0063720D" w:rsidRPr="00867CF5">
        <w:t xml:space="preserve"> – who had previously </w:t>
      </w:r>
      <w:r w:rsidR="001E211D" w:rsidRPr="00867CF5">
        <w:t>advised</w:t>
      </w:r>
      <w:r w:rsidR="0063720D" w:rsidRPr="00867CF5">
        <w:t xml:space="preserve"> Darius against attacking Scythia</w:t>
      </w:r>
      <w:r w:rsidR="00262397" w:rsidRPr="00867CF5">
        <w:t xml:space="preserve"> (4.83)</w:t>
      </w:r>
      <w:r w:rsidR="0063720D" w:rsidRPr="00867CF5">
        <w:t xml:space="preserve"> – offer Xerxes a warning in which he explicitly recalls </w:t>
      </w:r>
      <w:r w:rsidR="00262397" w:rsidRPr="00867CF5">
        <w:t xml:space="preserve">that the earlier </w:t>
      </w:r>
      <w:r w:rsidR="0063720D" w:rsidRPr="00867CF5">
        <w:t>disaster</w:t>
      </w:r>
      <w:r w:rsidR="00262397" w:rsidRPr="00867CF5">
        <w:t xml:space="preserve"> was caused by the Persians’ inability to conquer nomads (7.10)</w:t>
      </w:r>
      <w:r w:rsidR="0063720D" w:rsidRPr="00867CF5">
        <w:t>.</w:t>
      </w:r>
      <w:r w:rsidR="00FF120A" w:rsidRPr="00867CF5">
        <w:t xml:space="preserve"> Herodotus’ Scythian narrative thereby frames our expectations in reading his account of Salamis: when the Athenians become nomads, this is a portent of victory and forms a key part of Herodotus’ assessment of Athens’ great achievement.</w:t>
      </w:r>
      <w:r w:rsidR="001E211D" w:rsidRPr="00867CF5">
        <w:t xml:space="preserve"> </w:t>
      </w:r>
    </w:p>
    <w:p w:rsidR="00F47E06" w:rsidRPr="00867CF5" w:rsidRDefault="00200B91" w:rsidP="00867CF5">
      <w:pPr>
        <w:spacing w:line="480" w:lineRule="auto"/>
        <w:ind w:firstLine="720"/>
        <w:rPr>
          <w:b/>
        </w:rPr>
      </w:pPr>
      <w:r w:rsidRPr="00867CF5">
        <w:t>Moreover, t</w:t>
      </w:r>
      <w:r w:rsidR="00917C6C" w:rsidRPr="00867CF5">
        <w:t>he idea of Athenians as nomads offers insight into c</w:t>
      </w:r>
      <w:r w:rsidR="00421907" w:rsidRPr="00867CF5">
        <w:t xml:space="preserve">hanging views of the </w:t>
      </w:r>
      <w:r w:rsidR="00421907" w:rsidRPr="00867CF5">
        <w:rPr>
          <w:i/>
        </w:rPr>
        <w:t>polis</w:t>
      </w:r>
      <w:r w:rsidR="00421907" w:rsidRPr="00867CF5">
        <w:t xml:space="preserve"> </w:t>
      </w:r>
      <w:r w:rsidR="00917650" w:rsidRPr="00867CF5">
        <w:t xml:space="preserve">and of what it meant to be Athenian </w:t>
      </w:r>
      <w:r w:rsidR="00421907" w:rsidRPr="00867CF5">
        <w:t>in fifth-century thought.</w:t>
      </w:r>
      <w:r w:rsidR="00DC266F" w:rsidRPr="00867CF5">
        <w:t xml:space="preserve"> Herodotus’ Themistocles insists that the Athenians are still a </w:t>
      </w:r>
      <w:r w:rsidR="00DC266F" w:rsidRPr="00867CF5">
        <w:rPr>
          <w:i/>
        </w:rPr>
        <w:t>polis</w:t>
      </w:r>
      <w:r w:rsidR="00DC266F" w:rsidRPr="00867CF5">
        <w:t xml:space="preserve"> despite abandoning their city</w:t>
      </w:r>
      <w:r w:rsidR="00C95720" w:rsidRPr="00867CF5">
        <w:t xml:space="preserve">, since a </w:t>
      </w:r>
      <w:r w:rsidR="00C95720" w:rsidRPr="00867CF5">
        <w:rPr>
          <w:i/>
        </w:rPr>
        <w:t>polis</w:t>
      </w:r>
      <w:r w:rsidR="00C95720" w:rsidRPr="00867CF5">
        <w:t xml:space="preserve"> is really its fighting men on their ships</w:t>
      </w:r>
      <w:r w:rsidR="003627F0" w:rsidRPr="00867CF5">
        <w:t xml:space="preserve"> (8.61-2)</w:t>
      </w:r>
      <w:r w:rsidR="00DC266F" w:rsidRPr="00867CF5">
        <w:t xml:space="preserve">. This view, </w:t>
      </w:r>
      <w:r w:rsidR="00C95720" w:rsidRPr="00867CF5">
        <w:t>further developed</w:t>
      </w:r>
      <w:r w:rsidR="00DC266F" w:rsidRPr="00867CF5">
        <w:t xml:space="preserve"> in the late fifth century by </w:t>
      </w:r>
      <w:r w:rsidR="00DC266F" w:rsidRPr="00867CF5">
        <w:lastRenderedPageBreak/>
        <w:t>Athenians such as Thucydides’ Nicias</w:t>
      </w:r>
      <w:r w:rsidR="003627F0" w:rsidRPr="00867CF5">
        <w:t xml:space="preserve"> (</w:t>
      </w:r>
      <w:r w:rsidR="005A73E5" w:rsidRPr="00867CF5">
        <w:t>7.64, 77</w:t>
      </w:r>
      <w:r w:rsidR="003627F0" w:rsidRPr="00867CF5">
        <w:t>)</w:t>
      </w:r>
      <w:r w:rsidR="00DC266F" w:rsidRPr="00867CF5">
        <w:t xml:space="preserve">, </w:t>
      </w:r>
      <w:r w:rsidR="00FF120A" w:rsidRPr="00867CF5">
        <w:t>is rooted in the</w:t>
      </w:r>
      <w:r w:rsidR="00DC266F" w:rsidRPr="00867CF5">
        <w:t xml:space="preserve"> same concept of a nomadic community</w:t>
      </w:r>
      <w:r w:rsidRPr="00867CF5">
        <w:t xml:space="preserve"> untethered to the land</w:t>
      </w:r>
      <w:r w:rsidR="005A73E5" w:rsidRPr="00867CF5">
        <w:t xml:space="preserve"> and </w:t>
      </w:r>
      <w:r w:rsidR="00DC266F" w:rsidRPr="00867CF5">
        <w:t xml:space="preserve">forms </w:t>
      </w:r>
      <w:r w:rsidR="001B4F74" w:rsidRPr="00867CF5">
        <w:t>a key building block</w:t>
      </w:r>
      <w:r w:rsidR="00DC266F" w:rsidRPr="00867CF5">
        <w:t xml:space="preserve"> of Pericles’</w:t>
      </w:r>
      <w:r w:rsidR="005A73E5" w:rsidRPr="00867CF5">
        <w:t xml:space="preserve"> strategy of abandon</w:t>
      </w:r>
      <w:r w:rsidR="00DC266F" w:rsidRPr="00867CF5">
        <w:t xml:space="preserve">ing the Attic countryside </w:t>
      </w:r>
      <w:r w:rsidR="00C95720" w:rsidRPr="00867CF5">
        <w:t>during</w:t>
      </w:r>
      <w:r w:rsidR="00DC266F" w:rsidRPr="00867CF5">
        <w:t xml:space="preserve"> the Peloponnesian War</w:t>
      </w:r>
      <w:r w:rsidR="003627F0" w:rsidRPr="00867CF5">
        <w:t xml:space="preserve"> (</w:t>
      </w:r>
      <w:r w:rsidR="001B4F74" w:rsidRPr="00867CF5">
        <w:t xml:space="preserve">Thuc. </w:t>
      </w:r>
      <w:r w:rsidR="005A73E5" w:rsidRPr="00867CF5">
        <w:t>1.143</w:t>
      </w:r>
      <w:r w:rsidR="007278F8" w:rsidRPr="00867CF5">
        <w:t xml:space="preserve">; cf. </w:t>
      </w:r>
      <w:proofErr w:type="spellStart"/>
      <w:r w:rsidR="007278F8" w:rsidRPr="00867CF5">
        <w:t>Constantakopoulou</w:t>
      </w:r>
      <w:proofErr w:type="spellEnd"/>
      <w:r w:rsidR="007278F8" w:rsidRPr="00867CF5">
        <w:t xml:space="preserve"> 2007</w:t>
      </w:r>
      <w:r w:rsidRPr="00867CF5">
        <w:t>, Taylor 2010</w:t>
      </w:r>
      <w:r w:rsidR="003627F0" w:rsidRPr="00867CF5">
        <w:t>)</w:t>
      </w:r>
      <w:r w:rsidR="00DC266F" w:rsidRPr="00867CF5">
        <w:t>.</w:t>
      </w:r>
      <w:r w:rsidR="00FF120A" w:rsidRPr="00867CF5">
        <w:t xml:space="preserve"> </w:t>
      </w:r>
      <w:r w:rsidR="00917650" w:rsidRPr="00867CF5">
        <w:t>Herodotus’ narrative</w:t>
      </w:r>
      <w:r w:rsidR="004A5A9E" w:rsidRPr="00867CF5">
        <w:t>s</w:t>
      </w:r>
      <w:r w:rsidR="00917650" w:rsidRPr="00867CF5">
        <w:t xml:space="preserve"> </w:t>
      </w:r>
      <w:r w:rsidR="004A5A9E" w:rsidRPr="00867CF5">
        <w:t>of Scythians and Athenians, I suggest, offer a commentary on these ideas</w:t>
      </w:r>
      <w:r w:rsidR="00FF120A" w:rsidRPr="00867CF5">
        <w:t xml:space="preserve"> </w:t>
      </w:r>
      <w:r w:rsidR="004A5A9E" w:rsidRPr="00867CF5">
        <w:t>in light of his conception of ethnic categories.</w:t>
      </w:r>
    </w:p>
    <w:p w:rsidR="001B4F74" w:rsidRPr="00867CF5" w:rsidRDefault="00591761" w:rsidP="00867CF5">
      <w:pPr>
        <w:spacing w:line="480" w:lineRule="auto"/>
        <w:ind w:firstLine="720"/>
      </w:pPr>
      <w:r w:rsidRPr="00867CF5">
        <w:t>Fran</w:t>
      </w:r>
      <w:r w:rsidR="0059353B" w:rsidRPr="00867CF5">
        <w:t>ç</w:t>
      </w:r>
      <w:r w:rsidRPr="00867CF5">
        <w:t xml:space="preserve">ois </w:t>
      </w:r>
      <w:proofErr w:type="spellStart"/>
      <w:r w:rsidRPr="00867CF5">
        <w:t>Hartog</w:t>
      </w:r>
      <w:proofErr w:type="spellEnd"/>
      <w:r w:rsidRPr="00867CF5">
        <w:t xml:space="preserve"> wri</w:t>
      </w:r>
      <w:r w:rsidR="00110C20" w:rsidRPr="00867CF5">
        <w:t>te</w:t>
      </w:r>
      <w:r w:rsidRPr="00867CF5">
        <w:t>s</w:t>
      </w:r>
      <w:r w:rsidR="00110C20" w:rsidRPr="00867CF5">
        <w:t xml:space="preserve"> that “the Scythians are ‘Athenians,’ yet at the same time they are quite opposite, since they are nomads”</w:t>
      </w:r>
      <w:r w:rsidR="00B07717" w:rsidRPr="00867CF5">
        <w:t xml:space="preserve"> (</w:t>
      </w:r>
      <w:proofErr w:type="spellStart"/>
      <w:r w:rsidR="00B07717" w:rsidRPr="00867CF5">
        <w:t>Hartog</w:t>
      </w:r>
      <w:proofErr w:type="spellEnd"/>
      <w:r w:rsidR="00B07717" w:rsidRPr="00867CF5">
        <w:t xml:space="preserve"> 1988</w:t>
      </w:r>
      <w:r w:rsidRPr="00867CF5">
        <w:t xml:space="preserve">, 56). Although recent work </w:t>
      </w:r>
      <w:r w:rsidR="00B07717" w:rsidRPr="00867CF5">
        <w:t>(</w:t>
      </w:r>
      <w:proofErr w:type="spellStart"/>
      <w:r w:rsidR="00B07717" w:rsidRPr="00867CF5">
        <w:t>Pelling</w:t>
      </w:r>
      <w:proofErr w:type="spellEnd"/>
      <w:r w:rsidR="00B07717" w:rsidRPr="00867CF5">
        <w:t xml:space="preserve"> 1997</w:t>
      </w:r>
      <w:r w:rsidR="00F47E06" w:rsidRPr="00867CF5">
        <w:t xml:space="preserve">, </w:t>
      </w:r>
      <w:r w:rsidR="00E76E98" w:rsidRPr="00867CF5">
        <w:t>Munson 2001</w:t>
      </w:r>
      <w:r w:rsidR="00C10E58">
        <w:t xml:space="preserve">, Mitchell 2007, </w:t>
      </w:r>
      <w:proofErr w:type="spellStart"/>
      <w:r w:rsidR="00C10E58">
        <w:t>Gruen</w:t>
      </w:r>
      <w:proofErr w:type="spellEnd"/>
      <w:r w:rsidR="00C10E58">
        <w:t xml:space="preserve"> 2011</w:t>
      </w:r>
      <w:r w:rsidR="00F25E29" w:rsidRPr="00867CF5">
        <w:t>; cf. Hall 2002</w:t>
      </w:r>
      <w:r w:rsidR="00F47E06" w:rsidRPr="00867CF5">
        <w:t>)</w:t>
      </w:r>
      <w:r w:rsidRPr="00867CF5">
        <w:t xml:space="preserve"> has sought to soften</w:t>
      </w:r>
      <w:r w:rsidR="00C10E58">
        <w:t xml:space="preserve"> Hartog’s</w:t>
      </w:r>
      <w:r w:rsidRPr="00867CF5">
        <w:t xml:space="preserve"> dichotomies</w:t>
      </w:r>
      <w:r w:rsidR="00E76E98" w:rsidRPr="00867CF5">
        <w:t xml:space="preserve"> and mirrors</w:t>
      </w:r>
      <w:r w:rsidRPr="00867CF5">
        <w:t xml:space="preserve">, this most basic one </w:t>
      </w:r>
      <w:r w:rsidR="00C10E58">
        <w:t xml:space="preserve">has </w:t>
      </w:r>
      <w:r w:rsidR="00203607" w:rsidRPr="00867CF5">
        <w:t>remain</w:t>
      </w:r>
      <w:r w:rsidR="00C10E58">
        <w:t>ed</w:t>
      </w:r>
      <w:r w:rsidRPr="00867CF5">
        <w:t>:</w:t>
      </w:r>
      <w:r w:rsidR="00C10E58">
        <w:t xml:space="preserve"> in most eyes,</w:t>
      </w:r>
      <w:r w:rsidRPr="00867CF5">
        <w:t xml:space="preserve"> while the Greeks stood for the civic order of a </w:t>
      </w:r>
      <w:r w:rsidRPr="00867CF5">
        <w:rPr>
          <w:i/>
        </w:rPr>
        <w:t>polis</w:t>
      </w:r>
      <w:r w:rsidRPr="00867CF5">
        <w:t xml:space="preserve"> civilization </w:t>
      </w:r>
      <w:r w:rsidR="00203607" w:rsidRPr="00867CF5">
        <w:t>tied to</w:t>
      </w:r>
      <w:r w:rsidRPr="00867CF5">
        <w:t xml:space="preserve"> a specific territory, the Scythians were disorderly barbarian nomads who lacked the rootedness necessary for agricultural civilization.</w:t>
      </w:r>
      <w:r w:rsidR="004A5A9E" w:rsidRPr="00867CF5">
        <w:t xml:space="preserve"> But</w:t>
      </w:r>
      <w:r w:rsidR="00573575" w:rsidRPr="00867CF5">
        <w:t xml:space="preserve"> Herodotus, I argue, is </w:t>
      </w:r>
      <w:r w:rsidR="004A5A9E" w:rsidRPr="00867CF5">
        <w:t xml:space="preserve">actually </w:t>
      </w:r>
      <w:r w:rsidR="00573575" w:rsidRPr="00867CF5">
        <w:t>undercutting this dichotomy</w:t>
      </w:r>
      <w:r w:rsidR="001B4F74" w:rsidRPr="00867CF5">
        <w:t xml:space="preserve"> in order to</w:t>
      </w:r>
      <w:r w:rsidR="002D60E0" w:rsidRPr="00867CF5">
        <w:t xml:space="preserve"> </w:t>
      </w:r>
      <w:r w:rsidR="00917650" w:rsidRPr="00867CF5">
        <w:t xml:space="preserve">highlight </w:t>
      </w:r>
      <w:r w:rsidR="00200B91" w:rsidRPr="00867CF5">
        <w:t>the fluidity of the categories “Greek” and “barbarian</w:t>
      </w:r>
      <w:r w:rsidR="00C10E58">
        <w:t>.</w:t>
      </w:r>
      <w:r w:rsidR="00200B91" w:rsidRPr="00867CF5">
        <w:t>”</w:t>
      </w:r>
      <w:r w:rsidR="0059353B" w:rsidRPr="00867CF5">
        <w:t xml:space="preserve"> </w:t>
      </w:r>
      <w:r w:rsidR="00200B91" w:rsidRPr="00867CF5">
        <w:t>In the moment when Greekness was defined against the barbarian Persians, the Athenians achieved victory by becoming barbarian nomads.</w:t>
      </w:r>
    </w:p>
    <w:p w:rsidR="001E5857" w:rsidRPr="00867CF5" w:rsidRDefault="001E5857" w:rsidP="00867CF5">
      <w:pPr>
        <w:jc w:val="center"/>
        <w:rPr>
          <w:u w:val="single"/>
        </w:rPr>
      </w:pPr>
      <w:r w:rsidRPr="00867CF5">
        <w:rPr>
          <w:u w:val="single"/>
        </w:rPr>
        <w:t>Bibliography</w:t>
      </w:r>
    </w:p>
    <w:p w:rsidR="001E5857" w:rsidRPr="00867CF5" w:rsidRDefault="001E5857" w:rsidP="00867CF5">
      <w:pPr>
        <w:jc w:val="center"/>
      </w:pPr>
    </w:p>
    <w:p w:rsidR="001E5857" w:rsidRPr="00867CF5" w:rsidRDefault="001E5857" w:rsidP="00867CF5">
      <w:pPr>
        <w:ind w:left="720" w:hanging="720"/>
      </w:pPr>
      <w:proofErr w:type="spellStart"/>
      <w:r w:rsidRPr="00867CF5">
        <w:t>Constantakopoulou</w:t>
      </w:r>
      <w:proofErr w:type="spellEnd"/>
      <w:r w:rsidRPr="00867CF5">
        <w:t xml:space="preserve">, C. 2007. </w:t>
      </w:r>
      <w:r w:rsidRPr="00867CF5">
        <w:rPr>
          <w:i/>
        </w:rPr>
        <w:t>The Dance of the Islands: Insularity, Networks, the Athenian Empire, and the Aegean World</w:t>
      </w:r>
      <w:r w:rsidRPr="00867CF5">
        <w:t>. Oxford: Oxford University Press.</w:t>
      </w:r>
    </w:p>
    <w:p w:rsidR="001E5857" w:rsidRPr="00C10E58" w:rsidRDefault="001E5857" w:rsidP="00867CF5">
      <w:pPr>
        <w:ind w:left="720" w:hanging="720"/>
      </w:pPr>
      <w:proofErr w:type="spellStart"/>
      <w:r w:rsidRPr="00867CF5">
        <w:t>Corcella</w:t>
      </w:r>
      <w:proofErr w:type="spellEnd"/>
      <w:r w:rsidR="00F25E29" w:rsidRPr="00867CF5">
        <w:t xml:space="preserve">, A. 2007. “Book IV.” In D. </w:t>
      </w:r>
      <w:proofErr w:type="spellStart"/>
      <w:r w:rsidR="00F25E29" w:rsidRPr="00867CF5">
        <w:t>Asheri</w:t>
      </w:r>
      <w:proofErr w:type="spellEnd"/>
      <w:r w:rsidR="00F25E29" w:rsidRPr="00867CF5">
        <w:t xml:space="preserve">, A. Lloyd, and A. </w:t>
      </w:r>
      <w:proofErr w:type="spellStart"/>
      <w:r w:rsidR="00F25E29" w:rsidRPr="00867CF5">
        <w:t>Corcella</w:t>
      </w:r>
      <w:proofErr w:type="spellEnd"/>
      <w:r w:rsidR="00F25E29" w:rsidRPr="00867CF5">
        <w:t xml:space="preserve">, </w:t>
      </w:r>
      <w:r w:rsidR="00F25E29" w:rsidRPr="00867CF5">
        <w:rPr>
          <w:i/>
        </w:rPr>
        <w:t>A Commentary on Herodotus, Books I-IV</w:t>
      </w:r>
      <w:r w:rsidR="00F25E29" w:rsidRPr="00867CF5">
        <w:t xml:space="preserve">, ed. O. Murray and A. Moreno. Trans. B. </w:t>
      </w:r>
      <w:proofErr w:type="spellStart"/>
      <w:r w:rsidR="00F25E29" w:rsidRPr="00867CF5">
        <w:t>Graziosi</w:t>
      </w:r>
      <w:proofErr w:type="spellEnd"/>
      <w:r w:rsidR="00F25E29" w:rsidRPr="00867CF5">
        <w:t xml:space="preserve">, M. Rossetti, C. </w:t>
      </w:r>
      <w:proofErr w:type="spellStart"/>
      <w:r w:rsidR="00F25E29" w:rsidRPr="00C10E58">
        <w:t>Dus</w:t>
      </w:r>
      <w:proofErr w:type="spellEnd"/>
      <w:r w:rsidR="00F25E29" w:rsidRPr="00C10E58">
        <w:t xml:space="preserve">, and V. </w:t>
      </w:r>
      <w:proofErr w:type="spellStart"/>
      <w:r w:rsidR="00F25E29" w:rsidRPr="00C10E58">
        <w:t>Cazzato</w:t>
      </w:r>
      <w:proofErr w:type="spellEnd"/>
      <w:r w:rsidR="00F25E29" w:rsidRPr="00C10E58">
        <w:t>. Oxford: Oxford University Press.</w:t>
      </w:r>
    </w:p>
    <w:p w:rsidR="00867CF5" w:rsidRPr="00C10E58" w:rsidRDefault="00867CF5" w:rsidP="00867CF5">
      <w:pPr>
        <w:ind w:left="720" w:hanging="720"/>
      </w:pPr>
      <w:proofErr w:type="spellStart"/>
      <w:r w:rsidRPr="00C10E58">
        <w:t>Gruen</w:t>
      </w:r>
      <w:proofErr w:type="spellEnd"/>
      <w:r w:rsidRPr="00C10E58">
        <w:t xml:space="preserve">, E. S. 2011. </w:t>
      </w:r>
      <w:r w:rsidRPr="00C10E58">
        <w:rPr>
          <w:i/>
        </w:rPr>
        <w:t>Rethinking the Other in Antiquity</w:t>
      </w:r>
      <w:r w:rsidRPr="00C10E58">
        <w:t>. Princeton: Princeton University Press.</w:t>
      </w:r>
    </w:p>
    <w:p w:rsidR="00526F47" w:rsidRPr="00C10E58" w:rsidRDefault="00F25E29" w:rsidP="00867CF5">
      <w:pPr>
        <w:ind w:left="720" w:hanging="720"/>
      </w:pPr>
      <w:r w:rsidRPr="00C10E58">
        <w:t xml:space="preserve">Hall, J. 2002. </w:t>
      </w:r>
      <w:proofErr w:type="spellStart"/>
      <w:r w:rsidRPr="00C10E58">
        <w:rPr>
          <w:i/>
        </w:rPr>
        <w:t>Hellenicity</w:t>
      </w:r>
      <w:proofErr w:type="spellEnd"/>
      <w:r w:rsidRPr="00C10E58">
        <w:rPr>
          <w:i/>
        </w:rPr>
        <w:t>: Between Ethnicity and Culture</w:t>
      </w:r>
      <w:r w:rsidRPr="00C10E58">
        <w:t>. Chicago: University of Chicago Press.</w:t>
      </w:r>
    </w:p>
    <w:p w:rsidR="001E5857" w:rsidRPr="00C10E58" w:rsidRDefault="001E5857" w:rsidP="00867CF5">
      <w:pPr>
        <w:ind w:left="720" w:hanging="720"/>
      </w:pPr>
      <w:proofErr w:type="spellStart"/>
      <w:r w:rsidRPr="00C10E58">
        <w:t>Hartog</w:t>
      </w:r>
      <w:proofErr w:type="spellEnd"/>
      <w:r w:rsidRPr="00C10E58">
        <w:t xml:space="preserve">, F. 1988. </w:t>
      </w:r>
      <w:r w:rsidRPr="00C10E58">
        <w:rPr>
          <w:i/>
        </w:rPr>
        <w:t>The Mirror of Herodotus: The Representation of the Other in the Writing of History</w:t>
      </w:r>
      <w:r w:rsidRPr="00C10E58">
        <w:t>. Trans. Janet Lloyd. Berkeley: University of California Press.</w:t>
      </w:r>
    </w:p>
    <w:p w:rsidR="00BF72EA" w:rsidRPr="00C10E58" w:rsidRDefault="00BF72EA" w:rsidP="00867CF5">
      <w:pPr>
        <w:ind w:left="720" w:hanging="720"/>
      </w:pPr>
      <w:r w:rsidRPr="00C10E58">
        <w:t xml:space="preserve">Mitchell, L. G. 2007. </w:t>
      </w:r>
      <w:r w:rsidRPr="00C10E58">
        <w:rPr>
          <w:i/>
        </w:rPr>
        <w:t>Panhellenism and the Barbarian</w:t>
      </w:r>
      <w:r w:rsidRPr="00C10E58">
        <w:t>. Swansea: Classical Press of Wales.</w:t>
      </w:r>
    </w:p>
    <w:p w:rsidR="001E5857" w:rsidRPr="00867CF5" w:rsidRDefault="001E5857" w:rsidP="00867CF5">
      <w:pPr>
        <w:ind w:left="720" w:hanging="720"/>
      </w:pPr>
      <w:r w:rsidRPr="00C10E58">
        <w:t xml:space="preserve">Munson, R. 2001. </w:t>
      </w:r>
      <w:r w:rsidRPr="00C10E58">
        <w:rPr>
          <w:i/>
        </w:rPr>
        <w:t>Telling Wonders: Ethnographic and Political Discourse in the Work of</w:t>
      </w:r>
      <w:r w:rsidRPr="00867CF5">
        <w:rPr>
          <w:i/>
        </w:rPr>
        <w:t xml:space="preserve"> Herodotus</w:t>
      </w:r>
      <w:r w:rsidRPr="00867CF5">
        <w:t>. Ann Arbor: University of Michigan Press.</w:t>
      </w:r>
    </w:p>
    <w:p w:rsidR="001E5857" w:rsidRPr="00867CF5" w:rsidRDefault="001E5857" w:rsidP="00867CF5">
      <w:pPr>
        <w:ind w:left="720" w:hanging="720"/>
        <w:rPr>
          <w:b/>
        </w:rPr>
      </w:pPr>
      <w:proofErr w:type="spellStart"/>
      <w:r w:rsidRPr="00867CF5">
        <w:t>Payen</w:t>
      </w:r>
      <w:proofErr w:type="spellEnd"/>
      <w:r w:rsidRPr="00867CF5">
        <w:t>, P.</w:t>
      </w:r>
      <w:r w:rsidR="00172B97" w:rsidRPr="00867CF5">
        <w:t xml:space="preserve"> 1997. </w:t>
      </w:r>
      <w:r w:rsidR="00172B97" w:rsidRPr="00867CF5">
        <w:rPr>
          <w:i/>
        </w:rPr>
        <w:t xml:space="preserve">Les Iles </w:t>
      </w:r>
      <w:proofErr w:type="spellStart"/>
      <w:r w:rsidR="00172B97" w:rsidRPr="00867CF5">
        <w:rPr>
          <w:i/>
        </w:rPr>
        <w:t>nomades</w:t>
      </w:r>
      <w:proofErr w:type="spellEnd"/>
      <w:r w:rsidR="00172B97" w:rsidRPr="00867CF5">
        <w:rPr>
          <w:i/>
        </w:rPr>
        <w:t xml:space="preserve">: </w:t>
      </w:r>
      <w:proofErr w:type="spellStart"/>
      <w:r w:rsidR="00172B97" w:rsidRPr="00867CF5">
        <w:rPr>
          <w:i/>
        </w:rPr>
        <w:t>conquerir</w:t>
      </w:r>
      <w:proofErr w:type="spellEnd"/>
      <w:r w:rsidR="00172B97" w:rsidRPr="00867CF5">
        <w:rPr>
          <w:i/>
        </w:rPr>
        <w:t xml:space="preserve"> et resister </w:t>
      </w:r>
      <w:proofErr w:type="spellStart"/>
      <w:r w:rsidR="00172B97" w:rsidRPr="00867CF5">
        <w:rPr>
          <w:i/>
        </w:rPr>
        <w:t>dans</w:t>
      </w:r>
      <w:proofErr w:type="spellEnd"/>
      <w:r w:rsidR="00172B97" w:rsidRPr="00867CF5">
        <w:rPr>
          <w:i/>
        </w:rPr>
        <w:t xml:space="preserve"> </w:t>
      </w:r>
      <w:proofErr w:type="spellStart"/>
      <w:r w:rsidR="00172B97" w:rsidRPr="00867CF5">
        <w:rPr>
          <w:i/>
        </w:rPr>
        <w:t>l’enquete</w:t>
      </w:r>
      <w:proofErr w:type="spellEnd"/>
      <w:r w:rsidR="00172B97" w:rsidRPr="00867CF5">
        <w:rPr>
          <w:i/>
        </w:rPr>
        <w:t xml:space="preserve"> </w:t>
      </w:r>
      <w:proofErr w:type="spellStart"/>
      <w:r w:rsidR="00172B97" w:rsidRPr="00867CF5">
        <w:rPr>
          <w:i/>
        </w:rPr>
        <w:t>d’Herodote</w:t>
      </w:r>
      <w:proofErr w:type="spellEnd"/>
      <w:r w:rsidR="00172B97" w:rsidRPr="00867CF5">
        <w:t>. Paris:</w:t>
      </w:r>
      <w:r w:rsidR="00971EF6" w:rsidRPr="00867CF5">
        <w:t xml:space="preserve"> </w:t>
      </w:r>
      <w:proofErr w:type="spellStart"/>
      <w:r w:rsidR="00971EF6" w:rsidRPr="00867CF5">
        <w:t>L’École</w:t>
      </w:r>
      <w:proofErr w:type="spellEnd"/>
      <w:r w:rsidR="00971EF6" w:rsidRPr="00867CF5">
        <w:t xml:space="preserve"> des </w:t>
      </w:r>
      <w:proofErr w:type="spellStart"/>
      <w:r w:rsidR="00971EF6" w:rsidRPr="00867CF5">
        <w:t>Hautes</w:t>
      </w:r>
      <w:proofErr w:type="spellEnd"/>
      <w:r w:rsidR="00971EF6" w:rsidRPr="00867CF5">
        <w:t xml:space="preserve"> </w:t>
      </w:r>
      <w:proofErr w:type="spellStart"/>
      <w:r w:rsidR="00F25E29" w:rsidRPr="00867CF5">
        <w:t>É</w:t>
      </w:r>
      <w:r w:rsidR="00971EF6" w:rsidRPr="00867CF5">
        <w:t>tudes</w:t>
      </w:r>
      <w:proofErr w:type="spellEnd"/>
      <w:r w:rsidR="00971EF6" w:rsidRPr="00867CF5">
        <w:t xml:space="preserve"> en Sciences </w:t>
      </w:r>
      <w:proofErr w:type="spellStart"/>
      <w:r w:rsidR="00971EF6" w:rsidRPr="00867CF5">
        <w:t>Sociales</w:t>
      </w:r>
      <w:proofErr w:type="spellEnd"/>
      <w:r w:rsidR="00971EF6" w:rsidRPr="00867CF5">
        <w:t>.</w:t>
      </w:r>
    </w:p>
    <w:p w:rsidR="001E5857" w:rsidRPr="00867CF5" w:rsidRDefault="001E5857" w:rsidP="00867CF5">
      <w:pPr>
        <w:ind w:left="720" w:hanging="720"/>
      </w:pPr>
      <w:proofErr w:type="spellStart"/>
      <w:r w:rsidRPr="00867CF5">
        <w:t>Pelling</w:t>
      </w:r>
      <w:proofErr w:type="spellEnd"/>
      <w:r w:rsidRPr="00867CF5">
        <w:t xml:space="preserve">, C. 1997. “East is East and West is West – Or Are They? National Discourse in Herodotus.” </w:t>
      </w:r>
      <w:proofErr w:type="spellStart"/>
      <w:r w:rsidRPr="00867CF5">
        <w:rPr>
          <w:i/>
        </w:rPr>
        <w:t>Histos</w:t>
      </w:r>
      <w:proofErr w:type="spellEnd"/>
      <w:r w:rsidRPr="00867CF5">
        <w:t xml:space="preserve"> 1: </w:t>
      </w:r>
      <w:proofErr w:type="spellStart"/>
      <w:r w:rsidRPr="00867CF5">
        <w:t>unpag</w:t>
      </w:r>
      <w:proofErr w:type="spellEnd"/>
      <w:r w:rsidRPr="00867CF5">
        <w:t>.</w:t>
      </w:r>
    </w:p>
    <w:p w:rsidR="00867CF5" w:rsidRPr="00867CF5" w:rsidRDefault="001E5857" w:rsidP="00867CF5">
      <w:pPr>
        <w:ind w:left="720" w:hanging="720"/>
      </w:pPr>
      <w:r w:rsidRPr="00867CF5">
        <w:t xml:space="preserve">Taylor, M. 2010. </w:t>
      </w:r>
      <w:r w:rsidRPr="00867CF5">
        <w:rPr>
          <w:i/>
        </w:rPr>
        <w:t>Thucydides, Pericles, and the Idea of Athens in the Peloponnesian War</w:t>
      </w:r>
      <w:r w:rsidRPr="00867CF5">
        <w:t>. Cambridge: Cambridge University Press.</w:t>
      </w:r>
    </w:p>
    <w:sectPr w:rsidR="00867CF5" w:rsidRPr="00867CF5" w:rsidSect="00B67E95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7C"/>
    <w:rsid w:val="00105A58"/>
    <w:rsid w:val="00110C20"/>
    <w:rsid w:val="00172B97"/>
    <w:rsid w:val="001B4F74"/>
    <w:rsid w:val="001E211D"/>
    <w:rsid w:val="001E5857"/>
    <w:rsid w:val="00200B91"/>
    <w:rsid w:val="00203607"/>
    <w:rsid w:val="00226B7B"/>
    <w:rsid w:val="00262397"/>
    <w:rsid w:val="002B787C"/>
    <w:rsid w:val="002D0A3C"/>
    <w:rsid w:val="002D60E0"/>
    <w:rsid w:val="003627F0"/>
    <w:rsid w:val="003A6EB4"/>
    <w:rsid w:val="00421907"/>
    <w:rsid w:val="004A5A9E"/>
    <w:rsid w:val="004B2F69"/>
    <w:rsid w:val="004B5DC0"/>
    <w:rsid w:val="00526F47"/>
    <w:rsid w:val="00532D7B"/>
    <w:rsid w:val="00573575"/>
    <w:rsid w:val="00591761"/>
    <w:rsid w:val="0059353B"/>
    <w:rsid w:val="005A73E5"/>
    <w:rsid w:val="0060594F"/>
    <w:rsid w:val="0063720D"/>
    <w:rsid w:val="006414A8"/>
    <w:rsid w:val="00700A52"/>
    <w:rsid w:val="007278F8"/>
    <w:rsid w:val="007B1393"/>
    <w:rsid w:val="007D0C9C"/>
    <w:rsid w:val="00843CAB"/>
    <w:rsid w:val="00867CF5"/>
    <w:rsid w:val="00917650"/>
    <w:rsid w:val="00917C6C"/>
    <w:rsid w:val="00971EF6"/>
    <w:rsid w:val="009D323E"/>
    <w:rsid w:val="00A10110"/>
    <w:rsid w:val="00A411F2"/>
    <w:rsid w:val="00A879C0"/>
    <w:rsid w:val="00B07717"/>
    <w:rsid w:val="00B6010C"/>
    <w:rsid w:val="00B67E95"/>
    <w:rsid w:val="00BF72EA"/>
    <w:rsid w:val="00C10E58"/>
    <w:rsid w:val="00C67783"/>
    <w:rsid w:val="00C95720"/>
    <w:rsid w:val="00CA331D"/>
    <w:rsid w:val="00D742A6"/>
    <w:rsid w:val="00DC266F"/>
    <w:rsid w:val="00DE155A"/>
    <w:rsid w:val="00E76E98"/>
    <w:rsid w:val="00EA2212"/>
    <w:rsid w:val="00EA7A2D"/>
    <w:rsid w:val="00ED3E0D"/>
    <w:rsid w:val="00F25E29"/>
    <w:rsid w:val="00F47E06"/>
    <w:rsid w:val="00F53993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69"/>
  </w:style>
  <w:style w:type="paragraph" w:styleId="Heading1">
    <w:name w:val="heading 1"/>
    <w:basedOn w:val="Normal"/>
    <w:next w:val="Normal"/>
    <w:link w:val="Heading1Char"/>
    <w:uiPriority w:val="9"/>
    <w:qFormat/>
    <w:rsid w:val="004B2F69"/>
    <w:pPr>
      <w:spacing w:line="48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F69"/>
    <w:pPr>
      <w:spacing w:line="480" w:lineRule="auto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B2F69"/>
    <w:pPr>
      <w:outlineLvl w:val="2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6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F69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4B2F69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69"/>
  </w:style>
  <w:style w:type="paragraph" w:styleId="Heading1">
    <w:name w:val="heading 1"/>
    <w:basedOn w:val="Normal"/>
    <w:next w:val="Normal"/>
    <w:link w:val="Heading1Char"/>
    <w:uiPriority w:val="9"/>
    <w:qFormat/>
    <w:rsid w:val="004B2F69"/>
    <w:pPr>
      <w:spacing w:line="48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F69"/>
    <w:pPr>
      <w:spacing w:line="480" w:lineRule="auto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B2F69"/>
    <w:pPr>
      <w:outlineLvl w:val="2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6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F69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4B2F6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B756AE93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2011-09-24T04:08:00Z</dcterms:created>
  <dcterms:modified xsi:type="dcterms:W3CDTF">2011-09-24T04:08:00Z</dcterms:modified>
</cp:coreProperties>
</file>