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DFF" w:rsidRPr="00250DFF" w:rsidRDefault="008A4CC8" w:rsidP="00B12CB8">
      <w:pPr>
        <w:jc w:val="center"/>
        <w:rPr>
          <w:i/>
        </w:rPr>
      </w:pPr>
      <w:bookmarkStart w:id="0" w:name="_GoBack"/>
      <w:r w:rsidRPr="00250DFF">
        <w:rPr>
          <w:i/>
        </w:rPr>
        <w:t xml:space="preserve">Quid </w:t>
      </w:r>
      <w:proofErr w:type="spellStart"/>
      <w:r w:rsidRPr="00250DFF">
        <w:rPr>
          <w:i/>
        </w:rPr>
        <w:t>est</w:t>
      </w:r>
      <w:proofErr w:type="spellEnd"/>
      <w:r w:rsidRPr="00250DFF">
        <w:rPr>
          <w:i/>
        </w:rPr>
        <w:t xml:space="preserve"> quod </w:t>
      </w:r>
      <w:proofErr w:type="spellStart"/>
      <w:r w:rsidRPr="00250DFF">
        <w:rPr>
          <w:i/>
        </w:rPr>
        <w:t>ius</w:t>
      </w:r>
      <w:proofErr w:type="spellEnd"/>
      <w:r w:rsidRPr="00250DFF">
        <w:rPr>
          <w:i/>
        </w:rPr>
        <w:t xml:space="preserve"> non sit</w:t>
      </w:r>
      <w:r w:rsidR="00F644DB" w:rsidRPr="00250DFF">
        <w:rPr>
          <w:i/>
        </w:rPr>
        <w:t xml:space="preserve">, quod </w:t>
      </w:r>
      <w:proofErr w:type="spellStart"/>
      <w:r w:rsidR="00F644DB" w:rsidRPr="00250DFF">
        <w:rPr>
          <w:i/>
        </w:rPr>
        <w:t>populus</w:t>
      </w:r>
      <w:proofErr w:type="spellEnd"/>
      <w:r w:rsidR="00F644DB" w:rsidRPr="00250DFF">
        <w:rPr>
          <w:i/>
        </w:rPr>
        <w:t xml:space="preserve"> </w:t>
      </w:r>
      <w:proofErr w:type="spellStart"/>
      <w:r w:rsidR="00F644DB" w:rsidRPr="00250DFF">
        <w:rPr>
          <w:i/>
        </w:rPr>
        <w:t>iubere</w:t>
      </w:r>
      <w:proofErr w:type="spellEnd"/>
      <w:r w:rsidR="00F644DB" w:rsidRPr="00250DFF">
        <w:rPr>
          <w:i/>
        </w:rPr>
        <w:t xml:space="preserve"> </w:t>
      </w:r>
      <w:proofErr w:type="spellStart"/>
      <w:r w:rsidR="00F644DB" w:rsidRPr="00250DFF">
        <w:rPr>
          <w:i/>
        </w:rPr>
        <w:t>aut</w:t>
      </w:r>
      <w:proofErr w:type="spellEnd"/>
      <w:r w:rsidR="00F644DB" w:rsidRPr="00250DFF">
        <w:rPr>
          <w:i/>
        </w:rPr>
        <w:t xml:space="preserve"> </w:t>
      </w:r>
      <w:proofErr w:type="spellStart"/>
      <w:r w:rsidR="00F644DB" w:rsidRPr="00250DFF">
        <w:rPr>
          <w:i/>
        </w:rPr>
        <w:t>vetare</w:t>
      </w:r>
      <w:proofErr w:type="spellEnd"/>
      <w:r w:rsidR="00F644DB" w:rsidRPr="00250DFF">
        <w:rPr>
          <w:i/>
        </w:rPr>
        <w:t xml:space="preserve"> non </w:t>
      </w:r>
      <w:proofErr w:type="spellStart"/>
      <w:r w:rsidR="00F644DB" w:rsidRPr="00250DFF">
        <w:rPr>
          <w:i/>
        </w:rPr>
        <w:t>possit</w:t>
      </w:r>
      <w:proofErr w:type="spellEnd"/>
      <w:r w:rsidRPr="00250DFF">
        <w:rPr>
          <w:i/>
        </w:rPr>
        <w:t>?</w:t>
      </w:r>
    </w:p>
    <w:p w:rsidR="008A4CC8" w:rsidRPr="00250DFF" w:rsidRDefault="00F644DB" w:rsidP="00B12CB8">
      <w:pPr>
        <w:jc w:val="center"/>
        <w:rPr>
          <w:i/>
        </w:rPr>
      </w:pPr>
      <w:r w:rsidRPr="00250DFF">
        <w:t xml:space="preserve">The Roots of ‘Constitutionality’ in Cicero’s </w:t>
      </w:r>
      <w:r w:rsidRPr="00250DFF">
        <w:rPr>
          <w:i/>
        </w:rPr>
        <w:t xml:space="preserve">Pro </w:t>
      </w:r>
      <w:proofErr w:type="spellStart"/>
      <w:r w:rsidRPr="00250DFF">
        <w:rPr>
          <w:i/>
        </w:rPr>
        <w:t>Caecina</w:t>
      </w:r>
      <w:proofErr w:type="spellEnd"/>
    </w:p>
    <w:bookmarkEnd w:id="0"/>
    <w:p w:rsidR="00F644DB" w:rsidRDefault="00F644DB" w:rsidP="00B12CB8">
      <w:pPr>
        <w:jc w:val="center"/>
        <w:rPr>
          <w:i/>
        </w:rPr>
      </w:pPr>
    </w:p>
    <w:p w:rsidR="00A1226B" w:rsidRDefault="00F644DB" w:rsidP="00B12CB8">
      <w:r>
        <w:tab/>
      </w:r>
      <w:r w:rsidR="005608B1">
        <w:t>There has recently been some debate over whether we can</w:t>
      </w:r>
      <w:r w:rsidR="00101CB0">
        <w:t xml:space="preserve"> profitably </w:t>
      </w:r>
      <w:r w:rsidR="005608B1">
        <w:t>speak of a Roman ‘constitution’ in the first century BCE</w:t>
      </w:r>
      <w:r w:rsidR="006568C7">
        <w:t xml:space="preserve">.  </w:t>
      </w:r>
      <w:r w:rsidR="00CB56CC">
        <w:t xml:space="preserve">But before proceeding, </w:t>
      </w:r>
      <w:r w:rsidR="006568C7">
        <w:t xml:space="preserve">I believe </w:t>
      </w:r>
      <w:r w:rsidR="00CB56CC">
        <w:t>we must carefully</w:t>
      </w:r>
      <w:r w:rsidR="00A1226B">
        <w:t xml:space="preserve"> distinguish between two p</w:t>
      </w:r>
      <w:r w:rsidR="00CB56CC">
        <w:t>ossible</w:t>
      </w:r>
      <w:r w:rsidR="00A1226B">
        <w:t xml:space="preserve"> uses of the term</w:t>
      </w:r>
      <w:r w:rsidR="00CB56CC">
        <w:t>s constitution and constitutional</w:t>
      </w:r>
      <w:r w:rsidR="00C75015">
        <w:t>.  For my purposes</w:t>
      </w:r>
      <w:r w:rsidR="00A508E1">
        <w:t xml:space="preserve"> here</w:t>
      </w:r>
      <w:r w:rsidR="00C75015">
        <w:t xml:space="preserve">, </w:t>
      </w:r>
      <w:r w:rsidR="00A1226B">
        <w:t xml:space="preserve">I </w:t>
      </w:r>
      <w:r w:rsidR="00A508E1">
        <w:t>offer as a working definition</w:t>
      </w:r>
      <w:r w:rsidR="00A1226B">
        <w:t xml:space="preserve"> that the term ‘constitution’ may be used either:</w:t>
      </w:r>
    </w:p>
    <w:p w:rsidR="00A1226B" w:rsidRDefault="00A1226B" w:rsidP="00B12CB8"/>
    <w:p w:rsidR="00A1226B" w:rsidRDefault="00A1226B" w:rsidP="00B12CB8">
      <w:pPr>
        <w:pStyle w:val="ListParagraph"/>
        <w:numPr>
          <w:ilvl w:val="0"/>
          <w:numId w:val="2"/>
        </w:numPr>
      </w:pPr>
      <w:r w:rsidRPr="00CB56CC">
        <w:rPr>
          <w:i/>
        </w:rPr>
        <w:t>D</w:t>
      </w:r>
      <w:r w:rsidR="0003384D" w:rsidRPr="00CB56CC">
        <w:rPr>
          <w:i/>
        </w:rPr>
        <w:t>escriptively</w:t>
      </w:r>
      <w:r w:rsidR="0003384D">
        <w:t xml:space="preserve">, that is: </w:t>
      </w:r>
      <w:r w:rsidR="00CB56CC">
        <w:t xml:space="preserve">as </w:t>
      </w:r>
      <w:r w:rsidR="0003384D">
        <w:t xml:space="preserve">a </w:t>
      </w:r>
      <w:r w:rsidR="0003384D" w:rsidRPr="00CB56CC">
        <w:rPr>
          <w:i/>
        </w:rPr>
        <w:t>neutral</w:t>
      </w:r>
      <w:r w:rsidRPr="00CB56CC">
        <w:rPr>
          <w:i/>
        </w:rPr>
        <w:t xml:space="preserve"> or scientific</w:t>
      </w:r>
      <w:r w:rsidR="0003384D">
        <w:t xml:space="preserve"> </w:t>
      </w:r>
      <w:r w:rsidR="0003384D" w:rsidRPr="00CB56CC">
        <w:rPr>
          <w:b/>
        </w:rPr>
        <w:t>account</w:t>
      </w:r>
      <w:r w:rsidR="0003384D">
        <w:t xml:space="preserve"> of a set of rules</w:t>
      </w:r>
      <w:r w:rsidR="0078731F">
        <w:t xml:space="preserve"> and procedures</w:t>
      </w:r>
      <w:r w:rsidR="008C5E0A">
        <w:t xml:space="preserve"> that are universally (or near universally) respected</w:t>
      </w:r>
      <w:r w:rsidR="0003384D">
        <w:t xml:space="preserve"> </w:t>
      </w:r>
      <w:r w:rsidR="008C5E0A">
        <w:t xml:space="preserve">and define the </w:t>
      </w:r>
      <w:r w:rsidR="0003384D">
        <w:t xml:space="preserve">under which a government </w:t>
      </w:r>
      <w:r w:rsidR="0003384D" w:rsidRPr="00A1226B">
        <w:rPr>
          <w:i/>
        </w:rPr>
        <w:t>does</w:t>
      </w:r>
      <w:r w:rsidR="0003384D">
        <w:t xml:space="preserve"> operate in a given situation.  </w:t>
      </w:r>
      <w:r>
        <w:t>Or</w:t>
      </w:r>
      <w:r>
        <w:br/>
      </w:r>
    </w:p>
    <w:p w:rsidR="0003384D" w:rsidRDefault="00A1226B" w:rsidP="00B12CB8">
      <w:pPr>
        <w:pStyle w:val="ListParagraph"/>
        <w:numPr>
          <w:ilvl w:val="0"/>
          <w:numId w:val="2"/>
        </w:numPr>
      </w:pPr>
      <w:r w:rsidRPr="00CB56CC">
        <w:rPr>
          <w:i/>
        </w:rPr>
        <w:t>P</w:t>
      </w:r>
      <w:r w:rsidR="0003384D" w:rsidRPr="00CB56CC">
        <w:rPr>
          <w:i/>
        </w:rPr>
        <w:t>r</w:t>
      </w:r>
      <w:r w:rsidRPr="00CB56CC">
        <w:rPr>
          <w:i/>
        </w:rPr>
        <w:t>e</w:t>
      </w:r>
      <w:r w:rsidR="0003384D" w:rsidRPr="00CB56CC">
        <w:rPr>
          <w:i/>
        </w:rPr>
        <w:t>scriptively</w:t>
      </w:r>
      <w:r w:rsidR="0003384D">
        <w:t>, that is: as a</w:t>
      </w:r>
      <w:r>
        <w:t xml:space="preserve"> </w:t>
      </w:r>
      <w:r w:rsidRPr="00A1226B">
        <w:rPr>
          <w:i/>
        </w:rPr>
        <w:t>moral, legal</w:t>
      </w:r>
      <w:r w:rsidR="0078731F">
        <w:rPr>
          <w:i/>
        </w:rPr>
        <w:t>, or</w:t>
      </w:r>
      <w:r w:rsidRPr="00A1226B">
        <w:rPr>
          <w:i/>
        </w:rPr>
        <w:t xml:space="preserve"> historical</w:t>
      </w:r>
      <w:r w:rsidR="0003384D">
        <w:t xml:space="preserve"> </w:t>
      </w:r>
      <w:r w:rsidR="0003384D" w:rsidRPr="00A1226B">
        <w:rPr>
          <w:b/>
        </w:rPr>
        <w:t>argument</w:t>
      </w:r>
      <w:r w:rsidR="0003384D">
        <w:t xml:space="preserve"> </w:t>
      </w:r>
      <w:r w:rsidR="008C5E0A">
        <w:t xml:space="preserve">put forward by an individual </w:t>
      </w:r>
      <w:r w:rsidR="0003384D">
        <w:t xml:space="preserve">of what </w:t>
      </w:r>
      <w:r w:rsidR="00707A73">
        <w:t>limits</w:t>
      </w:r>
      <w:r w:rsidR="0003384D">
        <w:t xml:space="preserve"> a </w:t>
      </w:r>
      <w:r>
        <w:t xml:space="preserve">legitimate </w:t>
      </w:r>
      <w:r w:rsidR="0003384D">
        <w:t xml:space="preserve">government </w:t>
      </w:r>
      <w:r w:rsidR="008C5E0A">
        <w:rPr>
          <w:i/>
        </w:rPr>
        <w:t>ought to or must</w:t>
      </w:r>
      <w:r w:rsidR="00707A73">
        <w:rPr>
          <w:i/>
        </w:rPr>
        <w:t xml:space="preserve"> respect</w:t>
      </w:r>
      <w:r w:rsidR="00707A73">
        <w:t xml:space="preserve"> in a given situation.</w:t>
      </w:r>
      <w:r>
        <w:t xml:space="preserve">  </w:t>
      </w:r>
      <w:r w:rsidR="0003384D">
        <w:br/>
      </w:r>
    </w:p>
    <w:p w:rsidR="0053147A" w:rsidRDefault="0078731F" w:rsidP="00B12CB8">
      <w:r>
        <w:t>In the first, descriptive sense, it is clearly appropriate to refer to the rules of the Roman political order as a constitution, and this has attracted a great deal of scholarly attention – most recently the extremely valuable</w:t>
      </w:r>
      <w:r w:rsidR="0053147A">
        <w:t xml:space="preserve"> work of Andrew </w:t>
      </w:r>
      <w:proofErr w:type="spellStart"/>
      <w:r w:rsidR="0053147A">
        <w:t>Lintott</w:t>
      </w:r>
      <w:proofErr w:type="spellEnd"/>
      <w:r w:rsidR="0053147A">
        <w:t xml:space="preserve"> (1999).  In this paper, however, I wish to examine Cicero’s discussion of </w:t>
      </w:r>
      <w:proofErr w:type="spellStart"/>
      <w:r w:rsidR="0053147A">
        <w:t>Volaterran</w:t>
      </w:r>
      <w:proofErr w:type="spellEnd"/>
      <w:r w:rsidR="0053147A">
        <w:t xml:space="preserve"> citizenship in the </w:t>
      </w:r>
      <w:r w:rsidR="0053147A">
        <w:rPr>
          <w:i/>
        </w:rPr>
        <w:t xml:space="preserve">Pro </w:t>
      </w:r>
      <w:proofErr w:type="spellStart"/>
      <w:r w:rsidR="0053147A">
        <w:rPr>
          <w:i/>
        </w:rPr>
        <w:t>Caecina</w:t>
      </w:r>
      <w:proofErr w:type="spellEnd"/>
      <w:r w:rsidR="0053147A">
        <w:t xml:space="preserve"> as a </w:t>
      </w:r>
      <w:r w:rsidR="0053147A" w:rsidRPr="0053147A">
        <w:rPr>
          <w:i/>
        </w:rPr>
        <w:t>constitutional argument</w:t>
      </w:r>
      <w:r w:rsidR="008C5E0A">
        <w:t xml:space="preserve"> in the</w:t>
      </w:r>
      <w:r w:rsidR="0053147A">
        <w:t xml:space="preserve"> second sense</w:t>
      </w:r>
      <w:r w:rsidR="008C5E0A">
        <w:t xml:space="preserve"> above</w:t>
      </w:r>
      <w:r w:rsidR="0053147A">
        <w:t xml:space="preserve">.  By doing so I </w:t>
      </w:r>
      <w:r w:rsidR="005977DE">
        <w:t xml:space="preserve">have two goals: first, to </w:t>
      </w:r>
      <w:r w:rsidR="0053147A">
        <w:t xml:space="preserve">show that we can indeed speak of </w:t>
      </w:r>
      <w:r w:rsidR="0053147A">
        <w:rPr>
          <w:i/>
        </w:rPr>
        <w:t>constitutional debates</w:t>
      </w:r>
      <w:r w:rsidR="0053147A">
        <w:t xml:space="preserve"> in Rome as early as 79 BC</w:t>
      </w:r>
      <w:r w:rsidR="005977DE">
        <w:t xml:space="preserve">, the date of Cicero’s successful defense of the woman of </w:t>
      </w:r>
      <w:proofErr w:type="spellStart"/>
      <w:r w:rsidR="005977DE">
        <w:t>Arretium</w:t>
      </w:r>
      <w:proofErr w:type="spellEnd"/>
      <w:r w:rsidR="005977DE">
        <w:t xml:space="preserve">, and secondly, to </w:t>
      </w:r>
      <w:r w:rsidR="008C5E0A">
        <w:t>postulate</w:t>
      </w:r>
      <w:r w:rsidR="005977DE">
        <w:t xml:space="preserve"> some of the historical circumstances which led to the development of this sort of argument in Cicero’s lifetime.</w:t>
      </w:r>
    </w:p>
    <w:p w:rsidR="005977DE" w:rsidRDefault="005977DE" w:rsidP="00B12CB8"/>
    <w:p w:rsidR="006568C7" w:rsidRDefault="005977DE" w:rsidP="00B12CB8">
      <w:r>
        <w:tab/>
      </w:r>
      <w:r w:rsidR="00123B69">
        <w:t xml:space="preserve">Cicero’s argument against Sulla’s law on the </w:t>
      </w:r>
      <w:proofErr w:type="spellStart"/>
      <w:r w:rsidR="00123B69">
        <w:t>Volaterrans</w:t>
      </w:r>
      <w:proofErr w:type="spellEnd"/>
      <w:r w:rsidR="00123B69">
        <w:t xml:space="preserve"> in the </w:t>
      </w:r>
      <w:r w:rsidR="00123B69">
        <w:rPr>
          <w:i/>
        </w:rPr>
        <w:t xml:space="preserve">Pro </w:t>
      </w:r>
      <w:proofErr w:type="spellStart"/>
      <w:r w:rsidR="00123B69">
        <w:rPr>
          <w:i/>
        </w:rPr>
        <w:t>Caecina</w:t>
      </w:r>
      <w:proofErr w:type="spellEnd"/>
      <w:r w:rsidR="005E2ECE">
        <w:rPr>
          <w:i/>
        </w:rPr>
        <w:t xml:space="preserve"> </w:t>
      </w:r>
      <w:r w:rsidR="005E2ECE">
        <w:t xml:space="preserve">(sections 95-102) </w:t>
      </w:r>
      <w:r w:rsidR="00123B69">
        <w:t xml:space="preserve">is the first surviving articulation of a powerful new category in Roman law – the </w:t>
      </w:r>
      <w:r w:rsidR="00123B69" w:rsidRPr="005E2ECE">
        <w:rPr>
          <w:b/>
        </w:rPr>
        <w:t>unconstitutional</w:t>
      </w:r>
      <w:r w:rsidR="00123B69">
        <w:t>.</w:t>
      </w:r>
      <w:r w:rsidR="005E2ECE">
        <w:t xml:space="preserve">  From republican tradition and from the law itself, he explicitly argues (95) that “there is something” (</w:t>
      </w:r>
      <w:proofErr w:type="spellStart"/>
      <w:r w:rsidR="005E2ECE">
        <w:rPr>
          <w:i/>
        </w:rPr>
        <w:t>esse</w:t>
      </w:r>
      <w:proofErr w:type="spellEnd"/>
      <w:r w:rsidR="005E2ECE">
        <w:rPr>
          <w:i/>
        </w:rPr>
        <w:t xml:space="preserve"> </w:t>
      </w:r>
      <w:proofErr w:type="spellStart"/>
      <w:r w:rsidR="005E2ECE">
        <w:rPr>
          <w:i/>
        </w:rPr>
        <w:t>aliquid</w:t>
      </w:r>
      <w:proofErr w:type="spellEnd"/>
      <w:r w:rsidR="005E2ECE">
        <w:t>) which “the people can neither command nor prohibit” (</w:t>
      </w:r>
      <w:r w:rsidR="005E2ECE">
        <w:rPr>
          <w:i/>
        </w:rPr>
        <w:t xml:space="preserve">quod </w:t>
      </w:r>
      <w:proofErr w:type="spellStart"/>
      <w:r w:rsidR="005E2ECE">
        <w:rPr>
          <w:i/>
        </w:rPr>
        <w:t>populus</w:t>
      </w:r>
      <w:proofErr w:type="spellEnd"/>
      <w:r w:rsidR="005E2ECE">
        <w:rPr>
          <w:i/>
        </w:rPr>
        <w:t xml:space="preserve"> </w:t>
      </w:r>
      <w:proofErr w:type="spellStart"/>
      <w:r w:rsidR="005E2ECE">
        <w:rPr>
          <w:i/>
        </w:rPr>
        <w:t>iubere</w:t>
      </w:r>
      <w:proofErr w:type="spellEnd"/>
      <w:r w:rsidR="005E2ECE">
        <w:rPr>
          <w:i/>
        </w:rPr>
        <w:t xml:space="preserve"> </w:t>
      </w:r>
      <w:proofErr w:type="spellStart"/>
      <w:r w:rsidR="005E2ECE">
        <w:rPr>
          <w:i/>
        </w:rPr>
        <w:t>aut</w:t>
      </w:r>
      <w:proofErr w:type="spellEnd"/>
      <w:r w:rsidR="005E2ECE">
        <w:rPr>
          <w:i/>
        </w:rPr>
        <w:t xml:space="preserve"> </w:t>
      </w:r>
      <w:proofErr w:type="spellStart"/>
      <w:r w:rsidR="005E2ECE">
        <w:rPr>
          <w:i/>
        </w:rPr>
        <w:t>vetare</w:t>
      </w:r>
      <w:proofErr w:type="spellEnd"/>
      <w:r w:rsidR="005E2ECE">
        <w:rPr>
          <w:i/>
        </w:rPr>
        <w:t xml:space="preserve"> non </w:t>
      </w:r>
      <w:proofErr w:type="spellStart"/>
      <w:r w:rsidR="005E2ECE">
        <w:rPr>
          <w:i/>
        </w:rPr>
        <w:t>possit</w:t>
      </w:r>
      <w:proofErr w:type="spellEnd"/>
      <w:r w:rsidR="005E2ECE">
        <w:rPr>
          <w:i/>
        </w:rPr>
        <w:t>)</w:t>
      </w:r>
      <w:r w:rsidR="005E2ECE">
        <w:t xml:space="preserve">.  This is a truly </w:t>
      </w:r>
      <w:r w:rsidR="00AF01DE">
        <w:t xml:space="preserve">novel legal argument, for Cicero is here arguing that a particular statute (Sulla’s law on the </w:t>
      </w:r>
      <w:proofErr w:type="spellStart"/>
      <w:r w:rsidR="00AF01DE">
        <w:t>Volaterrans</w:t>
      </w:r>
      <w:proofErr w:type="spellEnd"/>
      <w:r w:rsidR="00AF01DE">
        <w:t xml:space="preserve">) is in fact null and void.  </w:t>
      </w:r>
      <w:r w:rsidR="005A147A">
        <w:t>Because it is outside the bounds of traditional Roman government, as defined by Cicero, it is simply a legal nullity and of no account.</w:t>
      </w:r>
    </w:p>
    <w:p w:rsidR="00AF01DE" w:rsidRDefault="00AF01DE" w:rsidP="00B12CB8"/>
    <w:p w:rsidR="00F51F5B" w:rsidRDefault="00AF01DE" w:rsidP="00B12CB8">
      <w:r>
        <w:tab/>
      </w:r>
      <w:r w:rsidR="005A147A">
        <w:t xml:space="preserve">This is a new and uniquely Roman argument derived from the Roman historical and legal tradition.  </w:t>
      </w:r>
      <w:r w:rsidR="00B86AFE">
        <w:t xml:space="preserve">But I do not think Cicero is constructing this new constitutional argument </w:t>
      </w:r>
      <w:r w:rsidR="00B86AFE">
        <w:rPr>
          <w:i/>
        </w:rPr>
        <w:t>de novo</w:t>
      </w:r>
      <w:r w:rsidR="00B86AFE">
        <w:t>, but instead suggest that he is combining and developing two pre-existing strands of Roman legal thought</w:t>
      </w:r>
      <w:r w:rsidR="00B12CB8">
        <w:t>: It was rooted in the concept of customary law, as it developed by the jurists, and the concept of political legitimacy, as it was articulated in the political disputes of the Roman Republic.</w:t>
      </w:r>
    </w:p>
    <w:p w:rsidR="00B12CB8" w:rsidRDefault="00B12CB8" w:rsidP="00B12CB8"/>
    <w:p w:rsidR="00B12CB8" w:rsidRDefault="00B12CB8" w:rsidP="00B12CB8">
      <w:r>
        <w:br w:type="page"/>
      </w:r>
    </w:p>
    <w:p w:rsidR="00B12CB8" w:rsidRDefault="00B12CB8" w:rsidP="00B12CB8">
      <w:r>
        <w:lastRenderedPageBreak/>
        <w:t>Bibliography:</w:t>
      </w:r>
    </w:p>
    <w:p w:rsidR="00B12CB8" w:rsidRDefault="00B12CB8" w:rsidP="00B12CB8">
      <w:pPr>
        <w:pStyle w:val="NormalWeb"/>
        <w:ind w:left="450" w:hanging="450"/>
      </w:pPr>
      <w:proofErr w:type="spellStart"/>
      <w:r>
        <w:t>Frier</w:t>
      </w:r>
      <w:proofErr w:type="spellEnd"/>
      <w:r>
        <w:t xml:space="preserve">, Bruce W.  1985.  </w:t>
      </w:r>
      <w:r>
        <w:rPr>
          <w:i/>
        </w:rPr>
        <w:t xml:space="preserve">The Rise of the Roman </w:t>
      </w:r>
      <w:r w:rsidRPr="00B12CB8">
        <w:rPr>
          <w:i/>
        </w:rPr>
        <w:t>Jurists</w:t>
      </w:r>
      <w:r>
        <w:t xml:space="preserve">: </w:t>
      </w:r>
      <w:r w:rsidRPr="00B12CB8">
        <w:rPr>
          <w:i/>
        </w:rPr>
        <w:t xml:space="preserve">Studies in the Pro </w:t>
      </w:r>
      <w:proofErr w:type="spellStart"/>
      <w:r w:rsidRPr="00B12CB8">
        <w:rPr>
          <w:i/>
        </w:rPr>
        <w:t>Caecina</w:t>
      </w:r>
      <w:proofErr w:type="spellEnd"/>
      <w:r w:rsidRPr="00B12CB8">
        <w:rPr>
          <w:i/>
        </w:rPr>
        <w:t>.</w:t>
      </w:r>
      <w:r>
        <w:t xml:space="preserve">  </w:t>
      </w:r>
      <w:r w:rsidR="00FB3F61">
        <w:t>Princeton, Princeton UP</w:t>
      </w:r>
    </w:p>
    <w:p w:rsidR="00B12CB8" w:rsidRDefault="00B12CB8" w:rsidP="00B12CB8">
      <w:pPr>
        <w:pStyle w:val="NormalWeb"/>
        <w:ind w:left="450" w:hanging="450"/>
      </w:pPr>
      <w:proofErr w:type="spellStart"/>
      <w:r w:rsidRPr="00B12CB8">
        <w:t>Lintott</w:t>
      </w:r>
      <w:proofErr w:type="spellEnd"/>
      <w:r w:rsidRPr="00F7436B">
        <w:t xml:space="preserve">, A. W. 1999. </w:t>
      </w:r>
      <w:r w:rsidRPr="00F7436B">
        <w:rPr>
          <w:i/>
          <w:iCs/>
        </w:rPr>
        <w:t>The Constitution of the Roman Republic.</w:t>
      </w:r>
      <w:r w:rsidRPr="00F7436B">
        <w:t xml:space="preserve"> Oxford: Clarendon Press. </w:t>
      </w:r>
    </w:p>
    <w:p w:rsidR="00FB3F61" w:rsidRPr="00FB3F61" w:rsidRDefault="00FB3F61" w:rsidP="00B12CB8">
      <w:pPr>
        <w:pStyle w:val="NormalWeb"/>
        <w:ind w:left="450" w:hanging="450"/>
      </w:pPr>
      <w:r>
        <w:t xml:space="preserve">Millar, Fergus.  1998.  </w:t>
      </w:r>
      <w:r>
        <w:rPr>
          <w:i/>
        </w:rPr>
        <w:t>The Crowd in the Late Roman Republic</w:t>
      </w:r>
      <w:r>
        <w:t>.  Ann Arbor, UM Press.</w:t>
      </w:r>
    </w:p>
    <w:p w:rsidR="00FB3F61" w:rsidRPr="00F7436B" w:rsidRDefault="00FB3F61" w:rsidP="00FB3F61">
      <w:pPr>
        <w:pStyle w:val="NormalWeb"/>
        <w:ind w:left="450" w:hanging="450"/>
      </w:pPr>
      <w:proofErr w:type="spellStart"/>
      <w:r w:rsidRPr="00F7436B">
        <w:t>Morstein</w:t>
      </w:r>
      <w:proofErr w:type="spellEnd"/>
      <w:r w:rsidRPr="00F7436B">
        <w:t xml:space="preserve">-Marx, Robert. 2004. </w:t>
      </w:r>
      <w:r w:rsidRPr="00F7436B">
        <w:rPr>
          <w:i/>
          <w:iCs/>
        </w:rPr>
        <w:t>Mass Oratory and Political Power in the Late Roman Republic.</w:t>
      </w:r>
      <w:r w:rsidRPr="00F7436B">
        <w:t xml:space="preserve"> Cambridge: Cambridge University Press. </w:t>
      </w:r>
    </w:p>
    <w:p w:rsidR="00FB3F61" w:rsidRPr="00FB3F61" w:rsidRDefault="00FB3F61" w:rsidP="00B12CB8">
      <w:pPr>
        <w:pStyle w:val="NormalWeb"/>
        <w:ind w:left="450" w:hanging="450"/>
      </w:pPr>
      <w:r>
        <w:t xml:space="preserve">Schofield, Malcolm.  1995.  “Cicero’s Definition of </w:t>
      </w:r>
      <w:r>
        <w:rPr>
          <w:i/>
        </w:rPr>
        <w:t xml:space="preserve">Res </w:t>
      </w:r>
      <w:proofErr w:type="spellStart"/>
      <w:r>
        <w:rPr>
          <w:i/>
        </w:rPr>
        <w:t>Publica</w:t>
      </w:r>
      <w:proofErr w:type="spellEnd"/>
      <w:r>
        <w:rPr>
          <w:i/>
        </w:rPr>
        <w:t>.</w:t>
      </w:r>
      <w:r>
        <w:t xml:space="preserve">”  Pg. 37-62 in </w:t>
      </w:r>
      <w:r>
        <w:rPr>
          <w:i/>
        </w:rPr>
        <w:t>Cicero The Philosopher</w:t>
      </w:r>
      <w:r>
        <w:t>, Powell, J.G.F. ed.  Oxford, Oxford UP.</w:t>
      </w:r>
    </w:p>
    <w:p w:rsidR="00FB3F61" w:rsidRDefault="00B12CB8" w:rsidP="00B12CB8">
      <w:pPr>
        <w:rPr>
          <w:i/>
        </w:rPr>
      </w:pPr>
      <w:proofErr w:type="spellStart"/>
      <w:r>
        <w:t>Straumann</w:t>
      </w:r>
      <w:proofErr w:type="spellEnd"/>
      <w:r>
        <w:t xml:space="preserve">, Benjamin.  2011.  “Constitutional Thought in the Late Roman Republic.”  </w:t>
      </w:r>
      <w:r w:rsidR="00FB3F61">
        <w:rPr>
          <w:i/>
        </w:rPr>
        <w:t xml:space="preserve">History of </w:t>
      </w:r>
    </w:p>
    <w:p w:rsidR="00F51F5B" w:rsidRPr="00FB3F61" w:rsidRDefault="00FB3F61" w:rsidP="00B12CB8">
      <w:r>
        <w:rPr>
          <w:i/>
        </w:rPr>
        <w:tab/>
        <w:t>Political Thought</w:t>
      </w:r>
      <w:r>
        <w:t>, vol. 32, no. 2.</w:t>
      </w:r>
    </w:p>
    <w:p w:rsidR="00762B1B" w:rsidRDefault="00762B1B" w:rsidP="00B12CB8">
      <w:pPr>
        <w:jc w:val="center"/>
      </w:pPr>
    </w:p>
    <w:p w:rsidR="00762B1B" w:rsidRDefault="00762B1B" w:rsidP="00B12CB8"/>
    <w:p w:rsidR="00862A2A" w:rsidRDefault="00862A2A" w:rsidP="00B12CB8">
      <w:pPr>
        <w:jc w:val="center"/>
      </w:pPr>
    </w:p>
    <w:p w:rsidR="00862A2A" w:rsidRDefault="00862A2A" w:rsidP="00B12CB8">
      <w:r>
        <w:tab/>
      </w:r>
    </w:p>
    <w:sectPr w:rsidR="00862A2A" w:rsidSect="00105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39B3"/>
    <w:multiLevelType w:val="hybridMultilevel"/>
    <w:tmpl w:val="29B21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A3C69"/>
    <w:multiLevelType w:val="hybridMultilevel"/>
    <w:tmpl w:val="5AEEE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A2A"/>
    <w:rsid w:val="0003384D"/>
    <w:rsid w:val="00101CB0"/>
    <w:rsid w:val="00105558"/>
    <w:rsid w:val="00123B69"/>
    <w:rsid w:val="00250DFF"/>
    <w:rsid w:val="00363F12"/>
    <w:rsid w:val="003E5E43"/>
    <w:rsid w:val="00454BCA"/>
    <w:rsid w:val="0053147A"/>
    <w:rsid w:val="005608B1"/>
    <w:rsid w:val="00572E45"/>
    <w:rsid w:val="005977DE"/>
    <w:rsid w:val="005A147A"/>
    <w:rsid w:val="005E2ECE"/>
    <w:rsid w:val="006568C7"/>
    <w:rsid w:val="0068070C"/>
    <w:rsid w:val="00707A73"/>
    <w:rsid w:val="00762B1B"/>
    <w:rsid w:val="0078731F"/>
    <w:rsid w:val="00862A2A"/>
    <w:rsid w:val="008A4CC8"/>
    <w:rsid w:val="008C5E0A"/>
    <w:rsid w:val="00A1226B"/>
    <w:rsid w:val="00A508E1"/>
    <w:rsid w:val="00AD769E"/>
    <w:rsid w:val="00AF01DE"/>
    <w:rsid w:val="00B12CB8"/>
    <w:rsid w:val="00B86AFE"/>
    <w:rsid w:val="00C75015"/>
    <w:rsid w:val="00CB56CC"/>
    <w:rsid w:val="00D61304"/>
    <w:rsid w:val="00D83065"/>
    <w:rsid w:val="00ED0510"/>
    <w:rsid w:val="00F51F5B"/>
    <w:rsid w:val="00F644DB"/>
    <w:rsid w:val="00FB3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5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84D"/>
    <w:pPr>
      <w:ind w:left="720"/>
      <w:contextualSpacing/>
    </w:pPr>
  </w:style>
  <w:style w:type="paragraph" w:styleId="NormalWeb">
    <w:name w:val="Normal (Web)"/>
    <w:basedOn w:val="Normal"/>
    <w:rsid w:val="00B12CB8"/>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5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84D"/>
    <w:pPr>
      <w:ind w:left="720"/>
      <w:contextualSpacing/>
    </w:pPr>
  </w:style>
  <w:style w:type="paragraph" w:styleId="NormalWeb">
    <w:name w:val="Normal (Web)"/>
    <w:basedOn w:val="Normal"/>
    <w:rsid w:val="00B12CB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DE455E7C</Template>
  <TotalTime>0</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Sienkewicz, Thomas J.</cp:lastModifiedBy>
  <cp:revision>2</cp:revision>
  <dcterms:created xsi:type="dcterms:W3CDTF">2011-09-24T12:07:00Z</dcterms:created>
  <dcterms:modified xsi:type="dcterms:W3CDTF">2011-09-24T12:07:00Z</dcterms:modified>
</cp:coreProperties>
</file>