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35" w:rsidRPr="00C2718D" w:rsidRDefault="00273F0B" w:rsidP="00C2718D">
      <w:pPr>
        <w:jc w:val="center"/>
      </w:pPr>
      <w:r w:rsidRPr="00C2718D">
        <w:t xml:space="preserve">Poetry and Politics at </w:t>
      </w:r>
      <w:proofErr w:type="spellStart"/>
      <w:r w:rsidRPr="00C2718D">
        <w:t>Sperlonga</w:t>
      </w:r>
      <w:proofErr w:type="spellEnd"/>
      <w:r w:rsidR="00CE1CA9" w:rsidRPr="00C2718D">
        <w:t xml:space="preserve">: Vergil, Aeneas and </w:t>
      </w:r>
      <w:proofErr w:type="spellStart"/>
      <w:r w:rsidR="00CE1CA9" w:rsidRPr="00C2718D">
        <w:t>Sextus</w:t>
      </w:r>
      <w:proofErr w:type="spellEnd"/>
      <w:r w:rsidR="00CE1CA9" w:rsidRPr="00C2718D">
        <w:t xml:space="preserve"> Pompey</w:t>
      </w:r>
    </w:p>
    <w:p w:rsidR="00FF6D35" w:rsidRPr="00C2718D" w:rsidRDefault="00FF6D35" w:rsidP="00FF6D35"/>
    <w:p w:rsidR="00FF6D35" w:rsidRPr="00C2718D" w:rsidRDefault="00146774" w:rsidP="00FF6D35">
      <w:r w:rsidRPr="00C2718D">
        <w:t xml:space="preserve">The dining grotto of the emperor Tiberius at </w:t>
      </w:r>
      <w:proofErr w:type="spellStart"/>
      <w:r w:rsidRPr="00C2718D">
        <w:t>Sperlonga</w:t>
      </w:r>
      <w:proofErr w:type="spellEnd"/>
      <w:r w:rsidRPr="00C2718D">
        <w:t>, with its dramatic colossal scul</w:t>
      </w:r>
      <w:r w:rsidR="003626B4" w:rsidRPr="00C2718D">
        <w:t>pture groups of Scylla and the Cyclops,</w:t>
      </w:r>
      <w:r w:rsidRPr="00C2718D">
        <w:t xml:space="preserve"> </w:t>
      </w:r>
      <w:proofErr w:type="spellStart"/>
      <w:r w:rsidRPr="00C2718D">
        <w:t>Polyphemus</w:t>
      </w:r>
      <w:proofErr w:type="spellEnd"/>
      <w:r w:rsidR="003626B4" w:rsidRPr="00C2718D">
        <w:t>,</w:t>
      </w:r>
      <w:r w:rsidRPr="00C2718D">
        <w:t xml:space="preserve"> as well as smaller groups, was one of the grandest and best-decorated dining spaces in the Roman world. </w:t>
      </w:r>
      <w:r w:rsidR="00D201D5" w:rsidRPr="00C2718D">
        <w:t xml:space="preserve">As the oldest extant decorated </w:t>
      </w:r>
      <w:bookmarkStart w:id="0" w:name="_GoBack"/>
      <w:bookmarkEnd w:id="0"/>
      <w:r w:rsidR="00D201D5" w:rsidRPr="00C2718D">
        <w:t xml:space="preserve">imperial domestic space, it provides evidence of the origins of imperial ideology and </w:t>
      </w:r>
      <w:r w:rsidR="00110BF0" w:rsidRPr="00C2718D">
        <w:t>artistic</w:t>
      </w:r>
      <w:r w:rsidR="00D201D5" w:rsidRPr="00C2718D">
        <w:t xml:space="preserve"> display at the start of the </w:t>
      </w:r>
      <w:proofErr w:type="spellStart"/>
      <w:r w:rsidR="00D201D5" w:rsidRPr="00C2718D">
        <w:t>principate</w:t>
      </w:r>
      <w:proofErr w:type="spellEnd"/>
      <w:r w:rsidR="00D201D5" w:rsidRPr="00C2718D">
        <w:t xml:space="preserve">. The use of Vergil’s </w:t>
      </w:r>
      <w:proofErr w:type="spellStart"/>
      <w:r w:rsidR="00D201D5" w:rsidRPr="00C2718D">
        <w:rPr>
          <w:i/>
        </w:rPr>
        <w:t>Aeneid</w:t>
      </w:r>
      <w:proofErr w:type="spellEnd"/>
      <w:r w:rsidR="00D201D5" w:rsidRPr="00C2718D">
        <w:t xml:space="preserve"> as </w:t>
      </w:r>
      <w:r w:rsidR="00110BF0" w:rsidRPr="00C2718D">
        <w:t>a source and reference for the decorative program and its presentation of images closely linked to t</w:t>
      </w:r>
      <w:r w:rsidR="008247A6" w:rsidRPr="00C2718D">
        <w:t xml:space="preserve">he defeated </w:t>
      </w:r>
      <w:proofErr w:type="spellStart"/>
      <w:r w:rsidR="008247A6" w:rsidRPr="00C2718D">
        <w:t>Sextus</w:t>
      </w:r>
      <w:proofErr w:type="spellEnd"/>
      <w:r w:rsidR="008247A6" w:rsidRPr="00C2718D">
        <w:t xml:space="preserve"> Pompey demonstrates the official nature of the program and the space it occupies in presenting the image of the emperor.</w:t>
      </w:r>
    </w:p>
    <w:p w:rsidR="0010494A" w:rsidRPr="00C2718D" w:rsidRDefault="0010494A" w:rsidP="00FF6D35"/>
    <w:p w:rsidR="00170F54" w:rsidRPr="00C2718D" w:rsidRDefault="00C30181" w:rsidP="007C0906">
      <w:r w:rsidRPr="00C2718D">
        <w:t>This presentation explores</w:t>
      </w:r>
      <w:r w:rsidR="00244382" w:rsidRPr="00C2718D">
        <w:t xml:space="preserve"> the subjects of the sculptures and</w:t>
      </w:r>
      <w:r w:rsidR="002920C8" w:rsidRPr="00C2718D">
        <w:t>, most importantly,</w:t>
      </w:r>
      <w:r w:rsidRPr="00C2718D">
        <w:t xml:space="preserve"> the </w:t>
      </w:r>
      <w:r w:rsidR="00996BA2" w:rsidRPr="00C2718D">
        <w:t xml:space="preserve">meanings behind their selection. I will argue </w:t>
      </w:r>
      <w:r w:rsidRPr="00C2718D">
        <w:t xml:space="preserve">that the major groups illustrate scenes, not </w:t>
      </w:r>
      <w:r w:rsidR="00121115" w:rsidRPr="00C2718D">
        <w:t xml:space="preserve">in </w:t>
      </w:r>
      <w:r w:rsidRPr="00C2718D">
        <w:t xml:space="preserve">Homer’s </w:t>
      </w:r>
      <w:r w:rsidRPr="00C2718D">
        <w:rPr>
          <w:i/>
        </w:rPr>
        <w:t>Odyssey</w:t>
      </w:r>
      <w:r w:rsidRPr="00C2718D">
        <w:t xml:space="preserve"> as long thought, but from Vergil’s </w:t>
      </w:r>
      <w:proofErr w:type="spellStart"/>
      <w:r w:rsidRPr="00C2718D">
        <w:rPr>
          <w:i/>
        </w:rPr>
        <w:t>Aeneid</w:t>
      </w:r>
      <w:proofErr w:type="spellEnd"/>
      <w:r w:rsidRPr="00C2718D">
        <w:t xml:space="preserve">. </w:t>
      </w:r>
      <w:r w:rsidR="00D201D5" w:rsidRPr="00C2718D">
        <w:t xml:space="preserve">The vast majority of scholars have concluded that the Scylla and </w:t>
      </w:r>
      <w:proofErr w:type="spellStart"/>
      <w:r w:rsidR="00D201D5" w:rsidRPr="00C2718D">
        <w:t>Polyphemus</w:t>
      </w:r>
      <w:proofErr w:type="spellEnd"/>
      <w:r w:rsidR="00D201D5" w:rsidRPr="00C2718D">
        <w:t xml:space="preserve"> groups illustrate, to a greater or lesser extent, these two episodes as narrated in Homer’s </w:t>
      </w:r>
      <w:r w:rsidR="00D201D5" w:rsidRPr="00C2718D">
        <w:rPr>
          <w:i/>
        </w:rPr>
        <w:t>Odyssey</w:t>
      </w:r>
      <w:r w:rsidR="00D201D5" w:rsidRPr="00C2718D">
        <w:t xml:space="preserve"> (Stewart 1990, 96-99).</w:t>
      </w:r>
      <w:r w:rsidR="00A6786A" w:rsidRPr="00C2718D">
        <w:t>Building on the work of Anne Weis</w:t>
      </w:r>
      <w:r w:rsidR="00A41C9B" w:rsidRPr="00C2718D">
        <w:t xml:space="preserve"> and Nancy de </w:t>
      </w:r>
      <w:proofErr w:type="spellStart"/>
      <w:r w:rsidR="00A41C9B" w:rsidRPr="00C2718D">
        <w:t>Grummond</w:t>
      </w:r>
      <w:proofErr w:type="spellEnd"/>
      <w:r w:rsidR="00962FA5" w:rsidRPr="00C2718D">
        <w:t xml:space="preserve"> who have</w:t>
      </w:r>
      <w:r w:rsidR="00A6786A" w:rsidRPr="00C2718D">
        <w:t xml:space="preserve"> postulated Roman epic as a source for </w:t>
      </w:r>
      <w:r w:rsidR="00962FA5" w:rsidRPr="00C2718D">
        <w:t>some of the</w:t>
      </w:r>
      <w:r w:rsidR="00A6786A" w:rsidRPr="00C2718D">
        <w:t xml:space="preserve"> sculpture at </w:t>
      </w:r>
      <w:proofErr w:type="spellStart"/>
      <w:r w:rsidR="00A6786A" w:rsidRPr="00C2718D">
        <w:t>Sperlonga</w:t>
      </w:r>
      <w:proofErr w:type="spellEnd"/>
      <w:r w:rsidR="00A6786A" w:rsidRPr="00C2718D">
        <w:t xml:space="preserve">, I argue that the </w:t>
      </w:r>
      <w:r w:rsidR="00055F7E" w:rsidRPr="00C2718D">
        <w:t xml:space="preserve">Scylla and </w:t>
      </w:r>
      <w:proofErr w:type="spellStart"/>
      <w:r w:rsidR="00055F7E" w:rsidRPr="00C2718D">
        <w:t>Polyphemus</w:t>
      </w:r>
      <w:proofErr w:type="spellEnd"/>
      <w:r w:rsidR="00055F7E" w:rsidRPr="00C2718D">
        <w:t xml:space="preserve"> groups </w:t>
      </w:r>
      <w:r w:rsidR="006C5E95" w:rsidRPr="00C2718D">
        <w:t xml:space="preserve">represent early reception of Vergil’s </w:t>
      </w:r>
      <w:proofErr w:type="spellStart"/>
      <w:r w:rsidR="006C5E95" w:rsidRPr="00C2718D">
        <w:rPr>
          <w:i/>
        </w:rPr>
        <w:t>Aeneid</w:t>
      </w:r>
      <w:proofErr w:type="spellEnd"/>
      <w:r w:rsidR="006C5E95" w:rsidRPr="00C2718D">
        <w:rPr>
          <w:i/>
        </w:rPr>
        <w:t xml:space="preserve"> </w:t>
      </w:r>
      <w:r w:rsidR="006C5E95" w:rsidRPr="00C2718D">
        <w:t>in the context of interior décor and imperial ideology. Each of these groups is inspired in subject</w:t>
      </w:r>
      <w:r w:rsidR="00D62AC3" w:rsidRPr="00C2718D">
        <w:t>, composition</w:t>
      </w:r>
      <w:r w:rsidR="006C5E95" w:rsidRPr="00C2718D">
        <w:t xml:space="preserve"> and form by </w:t>
      </w:r>
      <w:r w:rsidR="00B250E2" w:rsidRPr="00C2718D">
        <w:t xml:space="preserve">specific passages in </w:t>
      </w:r>
      <w:r w:rsidR="006C5E95" w:rsidRPr="00C2718D">
        <w:t>Vergil</w:t>
      </w:r>
      <w:r w:rsidR="000922A8" w:rsidRPr="00C2718D">
        <w:t>’s work</w:t>
      </w:r>
      <w:r w:rsidR="00C444D5" w:rsidRPr="00C2718D">
        <w:t xml:space="preserve"> (</w:t>
      </w:r>
      <w:proofErr w:type="spellStart"/>
      <w:r w:rsidR="00C444D5" w:rsidRPr="00C2718D">
        <w:rPr>
          <w:i/>
        </w:rPr>
        <w:t>Aen</w:t>
      </w:r>
      <w:proofErr w:type="spellEnd"/>
      <w:r w:rsidR="00C444D5" w:rsidRPr="00C2718D">
        <w:t>. 3.330-38</w:t>
      </w:r>
      <w:r w:rsidR="00542EB3" w:rsidRPr="00C2718D">
        <w:t xml:space="preserve"> and </w:t>
      </w:r>
      <w:proofErr w:type="spellStart"/>
      <w:r w:rsidR="00542EB3" w:rsidRPr="00C2718D">
        <w:rPr>
          <w:i/>
        </w:rPr>
        <w:t>Aen</w:t>
      </w:r>
      <w:proofErr w:type="spellEnd"/>
      <w:r w:rsidR="00542EB3" w:rsidRPr="00C2718D">
        <w:rPr>
          <w:i/>
        </w:rPr>
        <w:t>.</w:t>
      </w:r>
      <w:r w:rsidR="00542EB3" w:rsidRPr="00C2718D">
        <w:t xml:space="preserve"> 3.424-32</w:t>
      </w:r>
      <w:r w:rsidR="00C444D5" w:rsidRPr="00C2718D">
        <w:t>)</w:t>
      </w:r>
      <w:r w:rsidR="00542EB3" w:rsidRPr="00C2718D">
        <w:t xml:space="preserve"> </w:t>
      </w:r>
      <w:r w:rsidR="00C444D5" w:rsidRPr="00C2718D">
        <w:t>which more closely match the action illustrated than the accounts in Homer.</w:t>
      </w:r>
      <w:r w:rsidR="006C5E95" w:rsidRPr="00C2718D">
        <w:t xml:space="preserve"> </w:t>
      </w:r>
      <w:r w:rsidR="00C322DC" w:rsidRPr="00C2718D">
        <w:t>The</w:t>
      </w:r>
      <w:r w:rsidR="00FF6D35" w:rsidRPr="00C2718D">
        <w:t xml:space="preserve"> groups </w:t>
      </w:r>
      <w:r w:rsidR="00F77F70" w:rsidRPr="00C2718D">
        <w:t xml:space="preserve">further </w:t>
      </w:r>
      <w:r w:rsidR="00FF6D35" w:rsidRPr="00C2718D">
        <w:t xml:space="preserve">demonstrate a reliance on Roman literature directly with the major sculptures of </w:t>
      </w:r>
      <w:proofErr w:type="spellStart"/>
      <w:r w:rsidR="00FF6D35" w:rsidRPr="00C2718D">
        <w:t>Polyphemus</w:t>
      </w:r>
      <w:proofErr w:type="spellEnd"/>
      <w:r w:rsidR="00FF6D35" w:rsidRPr="00C2718D">
        <w:t xml:space="preserve"> and Scylla </w:t>
      </w:r>
      <w:r w:rsidR="00F77F70" w:rsidRPr="00C2718D">
        <w:t xml:space="preserve">apparently </w:t>
      </w:r>
      <w:r w:rsidR="00FF6D35" w:rsidRPr="00C2718D">
        <w:t xml:space="preserve">selected for Vergil’s reference to them in a dining context in the </w:t>
      </w:r>
      <w:proofErr w:type="spellStart"/>
      <w:r w:rsidR="00FF6D35" w:rsidRPr="00C2718D">
        <w:rPr>
          <w:i/>
        </w:rPr>
        <w:t>Aeneid</w:t>
      </w:r>
      <w:proofErr w:type="spellEnd"/>
      <w:r w:rsidR="00F77F70" w:rsidRPr="00C2718D">
        <w:t xml:space="preserve"> (1.198-207).</w:t>
      </w:r>
      <w:r w:rsidR="002E796C" w:rsidRPr="00C2718D">
        <w:t xml:space="preserve"> </w:t>
      </w:r>
    </w:p>
    <w:p w:rsidR="00170F54" w:rsidRPr="00C2718D" w:rsidRDefault="00170F54" w:rsidP="007C0906"/>
    <w:p w:rsidR="00BE0AFD" w:rsidRPr="00C2718D" w:rsidRDefault="00395CF4" w:rsidP="007C0906">
      <w:r w:rsidRPr="00C2718D">
        <w:t>Most notably</w:t>
      </w:r>
      <w:r w:rsidR="00A73023" w:rsidRPr="00C2718D">
        <w:t xml:space="preserve"> for the meaning and use of the display is</w:t>
      </w:r>
      <w:r w:rsidR="00AA53EF" w:rsidRPr="00C2718D">
        <w:t xml:space="preserve"> t</w:t>
      </w:r>
      <w:r w:rsidR="00FF6D35" w:rsidRPr="00C2718D">
        <w:t>he use of the works as metaphors for imperial politics and as the foundations for ideological display in the imperial world</w:t>
      </w:r>
      <w:r w:rsidR="00A73023" w:rsidRPr="00C2718D">
        <w:t>. This concept</w:t>
      </w:r>
      <w:r w:rsidR="00FF6D35" w:rsidRPr="00C2718D">
        <w:t xml:space="preserve"> is explored</w:t>
      </w:r>
      <w:r w:rsidR="002E796C" w:rsidRPr="00C2718D">
        <w:t xml:space="preserve"> as the </w:t>
      </w:r>
      <w:r w:rsidR="00751CA5" w:rsidRPr="00C2718D">
        <w:t>adoption</w:t>
      </w:r>
      <w:r w:rsidR="000035E5" w:rsidRPr="00C2718D">
        <w:t xml:space="preserve"> of both Scylla and </w:t>
      </w:r>
      <w:proofErr w:type="spellStart"/>
      <w:r w:rsidR="000035E5" w:rsidRPr="00C2718D">
        <w:t>Polyphemus</w:t>
      </w:r>
      <w:proofErr w:type="spellEnd"/>
      <w:r w:rsidR="000035E5" w:rsidRPr="00C2718D">
        <w:t xml:space="preserve"> by </w:t>
      </w:r>
      <w:proofErr w:type="spellStart"/>
      <w:r w:rsidR="000035E5" w:rsidRPr="00C2718D">
        <w:t>Sextus</w:t>
      </w:r>
      <w:proofErr w:type="spellEnd"/>
      <w:r w:rsidR="000035E5" w:rsidRPr="00C2718D">
        <w:t xml:space="preserve"> Pompey provides the context for the past dangers mentioned in Vergil’s critical passage.</w:t>
      </w:r>
      <w:r w:rsidR="00E31DF3" w:rsidRPr="00C2718D">
        <w:t xml:space="preserve"> Scylla appeared on </w:t>
      </w:r>
      <w:proofErr w:type="spellStart"/>
      <w:r w:rsidR="00E31DF3" w:rsidRPr="00C2718D">
        <w:t>Sextus</w:t>
      </w:r>
      <w:proofErr w:type="spellEnd"/>
      <w:r w:rsidR="00E31DF3" w:rsidRPr="00C2718D">
        <w:t xml:space="preserve"> Pompey’s coinage as a mythological metaphor for the destructive force that would be unleashed on Octavian’s fleet during their war. </w:t>
      </w:r>
      <w:proofErr w:type="spellStart"/>
      <w:r w:rsidR="00E31DF3" w:rsidRPr="00C2718D">
        <w:t>Polyphemus</w:t>
      </w:r>
      <w:proofErr w:type="spellEnd"/>
      <w:r w:rsidR="00E31DF3" w:rsidRPr="00C2718D">
        <w:t xml:space="preserve"> was a longer term figure associated with Sicily and Syracuse in particular giving the geographical context for </w:t>
      </w:r>
      <w:proofErr w:type="spellStart"/>
      <w:r w:rsidR="00E31DF3" w:rsidRPr="00C2718D">
        <w:t>Sextus</w:t>
      </w:r>
      <w:proofErr w:type="spellEnd"/>
      <w:r w:rsidR="00E31DF3" w:rsidRPr="00C2718D">
        <w:t xml:space="preserve"> Pompey’s power </w:t>
      </w:r>
      <w:r w:rsidR="00134171" w:rsidRPr="00C2718D">
        <w:t xml:space="preserve">and linking him back to a figure viewed as a champion of Sicily </w:t>
      </w:r>
      <w:r w:rsidR="00E31DF3" w:rsidRPr="00C2718D">
        <w:t>(Esposito 2008).</w:t>
      </w:r>
    </w:p>
    <w:p w:rsidR="00BE0AFD" w:rsidRPr="00C2718D" w:rsidRDefault="00BE0AFD" w:rsidP="007C0906"/>
    <w:p w:rsidR="00012034" w:rsidRPr="00C2718D" w:rsidRDefault="00BE0AFD" w:rsidP="00012034">
      <w:pPr>
        <w:spacing w:after="120"/>
      </w:pPr>
      <w:r w:rsidRPr="00C2718D">
        <w:t>Select bibliography</w:t>
      </w:r>
    </w:p>
    <w:p w:rsidR="00244382" w:rsidRPr="00C2718D" w:rsidRDefault="00012034" w:rsidP="00012034">
      <w:pPr>
        <w:spacing w:after="120"/>
      </w:pPr>
      <w:r w:rsidRPr="00C2718D">
        <w:t xml:space="preserve">De </w:t>
      </w:r>
      <w:proofErr w:type="spellStart"/>
      <w:r w:rsidRPr="00C2718D">
        <w:t>Grummond</w:t>
      </w:r>
      <w:proofErr w:type="spellEnd"/>
      <w:r w:rsidRPr="00C2718D">
        <w:t>, Nancy, ‘</w:t>
      </w:r>
      <w:proofErr w:type="spellStart"/>
      <w:r w:rsidRPr="00C2718D">
        <w:t>Gauls</w:t>
      </w:r>
      <w:proofErr w:type="spellEnd"/>
      <w:r w:rsidRPr="00C2718D">
        <w:t xml:space="preserve"> and Giants, </w:t>
      </w:r>
      <w:proofErr w:type="spellStart"/>
      <w:r w:rsidRPr="00C2718D">
        <w:t>Skylla</w:t>
      </w:r>
      <w:proofErr w:type="spellEnd"/>
      <w:r w:rsidRPr="00C2718D">
        <w:t xml:space="preserve"> and the </w:t>
      </w:r>
      <w:proofErr w:type="spellStart"/>
      <w:r w:rsidRPr="00C2718D">
        <w:t>Palladion</w:t>
      </w:r>
      <w:proofErr w:type="spellEnd"/>
      <w:r w:rsidRPr="00C2718D">
        <w:t xml:space="preserve">: Some Responses’ in </w:t>
      </w:r>
      <w:r w:rsidRPr="00C2718D">
        <w:rPr>
          <w:i/>
        </w:rPr>
        <w:t xml:space="preserve">From </w:t>
      </w:r>
      <w:proofErr w:type="spellStart"/>
      <w:r w:rsidRPr="00C2718D">
        <w:rPr>
          <w:i/>
        </w:rPr>
        <w:t>Pergamon</w:t>
      </w:r>
      <w:proofErr w:type="spellEnd"/>
      <w:r w:rsidRPr="00C2718D">
        <w:rPr>
          <w:i/>
        </w:rPr>
        <w:t xml:space="preserve"> to </w:t>
      </w:r>
      <w:proofErr w:type="spellStart"/>
      <w:r w:rsidRPr="00C2718D">
        <w:rPr>
          <w:i/>
        </w:rPr>
        <w:t>Sperlonga</w:t>
      </w:r>
      <w:proofErr w:type="spellEnd"/>
      <w:r w:rsidRPr="00C2718D">
        <w:rPr>
          <w:i/>
        </w:rPr>
        <w:t>: Sculpture and context</w:t>
      </w:r>
      <w:r w:rsidRPr="00C2718D">
        <w:t xml:space="preserve"> ed. N. de </w:t>
      </w:r>
      <w:proofErr w:type="spellStart"/>
      <w:r w:rsidRPr="00C2718D">
        <w:t>Grummond</w:t>
      </w:r>
      <w:proofErr w:type="spellEnd"/>
      <w:r w:rsidRPr="00C2718D">
        <w:t xml:space="preserve"> and B. Ridgway (California 2000).</w:t>
      </w:r>
    </w:p>
    <w:p w:rsidR="00B17F77" w:rsidRPr="00C2718D" w:rsidRDefault="00B17F77" w:rsidP="00012034">
      <w:pPr>
        <w:spacing w:after="120"/>
      </w:pPr>
      <w:r w:rsidRPr="00C2718D">
        <w:t xml:space="preserve">Esposito, </w:t>
      </w:r>
      <w:proofErr w:type="spellStart"/>
      <w:r w:rsidRPr="00C2718D">
        <w:t>Domenico</w:t>
      </w:r>
      <w:proofErr w:type="spellEnd"/>
      <w:r w:rsidRPr="00C2718D">
        <w:t>, ‘</w:t>
      </w:r>
      <w:proofErr w:type="spellStart"/>
      <w:r w:rsidRPr="00C2718D">
        <w:t>Filosseno</w:t>
      </w:r>
      <w:proofErr w:type="spellEnd"/>
      <w:r w:rsidRPr="00C2718D">
        <w:t xml:space="preserve">, Il </w:t>
      </w:r>
      <w:proofErr w:type="spellStart"/>
      <w:r w:rsidRPr="00C2718D">
        <w:t>Ciclope</w:t>
      </w:r>
      <w:proofErr w:type="spellEnd"/>
      <w:r w:rsidRPr="00C2718D">
        <w:t xml:space="preserve"> e Sesto </w:t>
      </w:r>
      <w:proofErr w:type="spellStart"/>
      <w:r w:rsidRPr="00C2718D">
        <w:t>Pompeo</w:t>
      </w:r>
      <w:proofErr w:type="spellEnd"/>
      <w:r w:rsidRPr="00C2718D">
        <w:t xml:space="preserve">’ </w:t>
      </w:r>
      <w:proofErr w:type="spellStart"/>
      <w:r w:rsidRPr="00C2718D">
        <w:rPr>
          <w:i/>
        </w:rPr>
        <w:t>Jahrbuch</w:t>
      </w:r>
      <w:proofErr w:type="spellEnd"/>
      <w:r w:rsidRPr="00C2718D">
        <w:rPr>
          <w:i/>
        </w:rPr>
        <w:t xml:space="preserve"> des </w:t>
      </w:r>
      <w:proofErr w:type="spellStart"/>
      <w:r w:rsidRPr="00C2718D">
        <w:rPr>
          <w:i/>
        </w:rPr>
        <w:t>Deutschen</w:t>
      </w:r>
      <w:proofErr w:type="spellEnd"/>
      <w:r w:rsidRPr="00C2718D">
        <w:rPr>
          <w:i/>
        </w:rPr>
        <w:t xml:space="preserve"> </w:t>
      </w:r>
      <w:proofErr w:type="spellStart"/>
      <w:r w:rsidRPr="00C2718D">
        <w:rPr>
          <w:i/>
        </w:rPr>
        <w:t>Archaologischen</w:t>
      </w:r>
      <w:proofErr w:type="spellEnd"/>
      <w:r w:rsidRPr="00C2718D">
        <w:rPr>
          <w:i/>
        </w:rPr>
        <w:t xml:space="preserve"> </w:t>
      </w:r>
      <w:proofErr w:type="spellStart"/>
      <w:r w:rsidRPr="00C2718D">
        <w:rPr>
          <w:i/>
        </w:rPr>
        <w:t>Instituts</w:t>
      </w:r>
      <w:proofErr w:type="spellEnd"/>
      <w:r w:rsidRPr="00C2718D">
        <w:t xml:space="preserve"> 123</w:t>
      </w:r>
      <w:r w:rsidR="005464B5" w:rsidRPr="00C2718D">
        <w:t>: 68-99</w:t>
      </w:r>
      <w:r w:rsidR="00E45502" w:rsidRPr="00C2718D">
        <w:t xml:space="preserve"> (2008)</w:t>
      </w:r>
      <w:r w:rsidRPr="00C2718D">
        <w:t>.</w:t>
      </w:r>
    </w:p>
    <w:p w:rsidR="0025614A" w:rsidRPr="00C2718D" w:rsidRDefault="0025614A" w:rsidP="00012034">
      <w:pPr>
        <w:spacing w:after="120"/>
      </w:pPr>
      <w:r w:rsidRPr="00C2718D">
        <w:t xml:space="preserve">Squire, Michael, ‘The motto in the grotto: inscribing illustration and illustrating inscription at </w:t>
      </w:r>
      <w:proofErr w:type="spellStart"/>
      <w:r w:rsidRPr="00C2718D">
        <w:t>Sperlonga</w:t>
      </w:r>
      <w:proofErr w:type="spellEnd"/>
      <w:r w:rsidRPr="00C2718D">
        <w:t xml:space="preserve">’ in </w:t>
      </w:r>
      <w:r w:rsidRPr="00C2718D">
        <w:rPr>
          <w:i/>
        </w:rPr>
        <w:t>Art and Inscriptions in the Ancient World</w:t>
      </w:r>
      <w:r w:rsidRPr="00C2718D">
        <w:t xml:space="preserve"> ed. Z. Newby and R. Leader-Newby (Cambridge 2007).</w:t>
      </w:r>
    </w:p>
    <w:p w:rsidR="00220148" w:rsidRDefault="00666D4D" w:rsidP="00220148">
      <w:pPr>
        <w:spacing w:after="120"/>
      </w:pPr>
      <w:r>
        <w:lastRenderedPageBreak/>
        <w:t xml:space="preserve">Stewart, Andrew, </w:t>
      </w:r>
      <w:r>
        <w:rPr>
          <w:i/>
        </w:rPr>
        <w:t>Greek Sculpture: An Exploration</w:t>
      </w:r>
      <w:r>
        <w:t xml:space="preserve"> (Yale 1990).</w:t>
      </w:r>
    </w:p>
    <w:p w:rsidR="0049173A" w:rsidRPr="00220148" w:rsidRDefault="00220148" w:rsidP="00220148">
      <w:pPr>
        <w:spacing w:after="120"/>
      </w:pPr>
      <w:r>
        <w:t xml:space="preserve">Weis, H. Anne, ‘Odysseus at </w:t>
      </w:r>
      <w:proofErr w:type="spellStart"/>
      <w:r>
        <w:t>Sperlonga</w:t>
      </w:r>
      <w:proofErr w:type="spellEnd"/>
      <w:r>
        <w:t xml:space="preserve">: Hellenistic Hero or Roman Heroic Foil?’ in </w:t>
      </w:r>
      <w:r>
        <w:rPr>
          <w:i/>
        </w:rPr>
        <w:t xml:space="preserve">From </w:t>
      </w:r>
      <w:proofErr w:type="spellStart"/>
      <w:r>
        <w:rPr>
          <w:i/>
        </w:rPr>
        <w:t>Pergamon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Sperlonga</w:t>
      </w:r>
      <w:proofErr w:type="spellEnd"/>
      <w:r>
        <w:rPr>
          <w:i/>
        </w:rPr>
        <w:t>: Sculpture and context</w:t>
      </w:r>
      <w:r>
        <w:t xml:space="preserve"> ed. N. de </w:t>
      </w:r>
      <w:proofErr w:type="spellStart"/>
      <w:r>
        <w:t>Grummond</w:t>
      </w:r>
      <w:proofErr w:type="spellEnd"/>
      <w:r>
        <w:t xml:space="preserve"> and B. Ridgway (California 2000).</w:t>
      </w:r>
    </w:p>
    <w:sectPr w:rsidR="0049173A" w:rsidRPr="00220148" w:rsidSect="000812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35"/>
    <w:rsid w:val="000035E5"/>
    <w:rsid w:val="00012034"/>
    <w:rsid w:val="000405B4"/>
    <w:rsid w:val="00055F7E"/>
    <w:rsid w:val="000812E1"/>
    <w:rsid w:val="000922A8"/>
    <w:rsid w:val="0010494A"/>
    <w:rsid w:val="00110BF0"/>
    <w:rsid w:val="00121115"/>
    <w:rsid w:val="00134171"/>
    <w:rsid w:val="00146774"/>
    <w:rsid w:val="00170F54"/>
    <w:rsid w:val="002055EB"/>
    <w:rsid w:val="00220148"/>
    <w:rsid w:val="00244382"/>
    <w:rsid w:val="0025614A"/>
    <w:rsid w:val="00273F0B"/>
    <w:rsid w:val="00275938"/>
    <w:rsid w:val="002920C8"/>
    <w:rsid w:val="002E796C"/>
    <w:rsid w:val="00313E7D"/>
    <w:rsid w:val="003626B4"/>
    <w:rsid w:val="00395CF4"/>
    <w:rsid w:val="003B0F3D"/>
    <w:rsid w:val="004479F7"/>
    <w:rsid w:val="0049173A"/>
    <w:rsid w:val="00542EB3"/>
    <w:rsid w:val="00545D17"/>
    <w:rsid w:val="005464B5"/>
    <w:rsid w:val="005C10AF"/>
    <w:rsid w:val="005E44B3"/>
    <w:rsid w:val="0064315C"/>
    <w:rsid w:val="00666D4D"/>
    <w:rsid w:val="00693FFC"/>
    <w:rsid w:val="006C2AB3"/>
    <w:rsid w:val="006C5E95"/>
    <w:rsid w:val="00710984"/>
    <w:rsid w:val="00751CA5"/>
    <w:rsid w:val="007B3031"/>
    <w:rsid w:val="007C0906"/>
    <w:rsid w:val="007C56B6"/>
    <w:rsid w:val="008247A6"/>
    <w:rsid w:val="008F161E"/>
    <w:rsid w:val="00907BFB"/>
    <w:rsid w:val="00962FA5"/>
    <w:rsid w:val="0096301C"/>
    <w:rsid w:val="009941AA"/>
    <w:rsid w:val="00996BA2"/>
    <w:rsid w:val="009D27AC"/>
    <w:rsid w:val="00A41C9B"/>
    <w:rsid w:val="00A6786A"/>
    <w:rsid w:val="00A73023"/>
    <w:rsid w:val="00AA53EF"/>
    <w:rsid w:val="00B17F77"/>
    <w:rsid w:val="00B250E2"/>
    <w:rsid w:val="00BE0AFD"/>
    <w:rsid w:val="00C2718D"/>
    <w:rsid w:val="00C30181"/>
    <w:rsid w:val="00C322DC"/>
    <w:rsid w:val="00C444D5"/>
    <w:rsid w:val="00CB0B81"/>
    <w:rsid w:val="00CE1CA9"/>
    <w:rsid w:val="00D14351"/>
    <w:rsid w:val="00D201D5"/>
    <w:rsid w:val="00D2331A"/>
    <w:rsid w:val="00D54124"/>
    <w:rsid w:val="00D62AC3"/>
    <w:rsid w:val="00E31DF3"/>
    <w:rsid w:val="00E45502"/>
    <w:rsid w:val="00E45CC6"/>
    <w:rsid w:val="00E71E31"/>
    <w:rsid w:val="00E72013"/>
    <w:rsid w:val="00EC6D37"/>
    <w:rsid w:val="00F44606"/>
    <w:rsid w:val="00F71989"/>
    <w:rsid w:val="00F77F70"/>
    <w:rsid w:val="00FF6D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E773E500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2011-09-22T20:06:00Z</dcterms:created>
  <dcterms:modified xsi:type="dcterms:W3CDTF">2011-09-22T20:06:00Z</dcterms:modified>
</cp:coreProperties>
</file>