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CD88" w14:textId="77777777" w:rsidR="00B37976" w:rsidRPr="00473179" w:rsidRDefault="001B0B63" w:rsidP="003E5A1E">
      <w:pPr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M</w:t>
      </w:r>
      <w:bookmarkStart w:id="0" w:name="_GoBack"/>
      <w:bookmarkEnd w:id="0"/>
      <w:r w:rsidR="00756622" w:rsidRPr="00473179">
        <w:rPr>
          <w:rFonts w:ascii="Times New Roman" w:hAnsi="Times New Roman"/>
        </w:rPr>
        <w:t xml:space="preserve">any Sorts of Music: </w:t>
      </w:r>
      <w:r w:rsidR="0052195F" w:rsidRPr="00473179">
        <w:rPr>
          <w:rFonts w:ascii="Times New Roman" w:hAnsi="Times New Roman"/>
        </w:rPr>
        <w:t xml:space="preserve">Plautus’ </w:t>
      </w:r>
      <w:r w:rsidR="0052195F" w:rsidRPr="00473179">
        <w:rPr>
          <w:rFonts w:ascii="Times New Roman" w:hAnsi="Times New Roman"/>
          <w:i/>
        </w:rPr>
        <w:t>Menaechmi</w:t>
      </w:r>
      <w:r w:rsidR="0052195F" w:rsidRPr="00473179">
        <w:rPr>
          <w:rFonts w:ascii="Times New Roman" w:hAnsi="Times New Roman"/>
        </w:rPr>
        <w:t xml:space="preserve"> and</w:t>
      </w:r>
      <w:r w:rsidR="00A8688A" w:rsidRPr="00473179">
        <w:rPr>
          <w:rFonts w:ascii="Times New Roman" w:hAnsi="Times New Roman"/>
        </w:rPr>
        <w:t xml:space="preserve"> </w:t>
      </w:r>
      <w:r w:rsidR="0017614D" w:rsidRPr="00473179">
        <w:rPr>
          <w:rFonts w:ascii="Times New Roman" w:hAnsi="Times New Roman"/>
        </w:rPr>
        <w:t xml:space="preserve">William </w:t>
      </w:r>
      <w:r w:rsidR="00A8688A" w:rsidRPr="00473179">
        <w:rPr>
          <w:rFonts w:ascii="Times New Roman" w:hAnsi="Times New Roman"/>
        </w:rPr>
        <w:t>Shakespeare’s</w:t>
      </w:r>
      <w:r w:rsidR="00A8688A" w:rsidRPr="00473179">
        <w:rPr>
          <w:rFonts w:ascii="Times New Roman" w:hAnsi="Times New Roman"/>
          <w:i/>
        </w:rPr>
        <w:t xml:space="preserve"> Twelfth Night</w:t>
      </w:r>
    </w:p>
    <w:p w14:paraId="064DAB68" w14:textId="77777777" w:rsidR="003E5A1E" w:rsidRPr="00A8688A" w:rsidRDefault="003E5A1E" w:rsidP="003E5A1E">
      <w:pPr>
        <w:contextualSpacing/>
        <w:jc w:val="center"/>
        <w:rPr>
          <w:rFonts w:ascii="Times New Roman" w:hAnsi="Times New Roman"/>
          <w:b/>
        </w:rPr>
      </w:pPr>
    </w:p>
    <w:p w14:paraId="6CB575D1" w14:textId="77777777" w:rsidR="00840579" w:rsidRDefault="00840579" w:rsidP="003E5A1E">
      <w:pPr>
        <w:contextualSpacing/>
        <w:rPr>
          <w:rFonts w:ascii="Times New Roman" w:hAnsi="Times New Roman"/>
          <w:b/>
        </w:rPr>
      </w:pPr>
    </w:p>
    <w:p w14:paraId="0875C63F" w14:textId="77777777" w:rsidR="00B37976" w:rsidRPr="00B37976" w:rsidRDefault="00C765AD" w:rsidP="00B37976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Among our first records of Shakespeare’s </w:t>
      </w:r>
      <w:r>
        <w:rPr>
          <w:rFonts w:ascii="Times New Roman" w:hAnsi="Times New Roman"/>
          <w:i/>
        </w:rPr>
        <w:t>Twelfth Night</w:t>
      </w:r>
      <w:r>
        <w:rPr>
          <w:rFonts w:ascii="Times New Roman" w:hAnsi="Times New Roman"/>
        </w:rPr>
        <w:t xml:space="preserve"> is a diary entry by </w:t>
      </w:r>
      <w:r w:rsidR="00DC1136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John Manningham: “At our feast we had a play called </w:t>
      </w:r>
      <w:r>
        <w:rPr>
          <w:rFonts w:ascii="Times New Roman" w:hAnsi="Times New Roman"/>
          <w:i/>
        </w:rPr>
        <w:t>Twelfth Night</w:t>
      </w:r>
      <w:r>
        <w:rPr>
          <w:rFonts w:ascii="Times New Roman" w:hAnsi="Times New Roman"/>
        </w:rPr>
        <w:t xml:space="preserve"> or </w:t>
      </w:r>
      <w:r>
        <w:rPr>
          <w:rFonts w:ascii="Times New Roman" w:hAnsi="Times New Roman"/>
          <w:i/>
        </w:rPr>
        <w:t>What You Will.</w:t>
      </w:r>
      <w:r>
        <w:rPr>
          <w:rFonts w:ascii="Times New Roman" w:hAnsi="Times New Roman"/>
        </w:rPr>
        <w:t xml:space="preserve"> Much like </w:t>
      </w:r>
      <w:r>
        <w:rPr>
          <w:rFonts w:ascii="Times New Roman" w:hAnsi="Times New Roman"/>
          <w:i/>
        </w:rPr>
        <w:t xml:space="preserve">The Comedy of Errors </w:t>
      </w:r>
      <w:r>
        <w:rPr>
          <w:rFonts w:ascii="Times New Roman" w:hAnsi="Times New Roman"/>
        </w:rPr>
        <w:t xml:space="preserve">or </w:t>
      </w:r>
      <w:r>
        <w:rPr>
          <w:rFonts w:ascii="Times New Roman" w:hAnsi="Times New Roman"/>
          <w:i/>
        </w:rPr>
        <w:t>Menaechmi</w:t>
      </w:r>
      <w:r>
        <w:rPr>
          <w:rFonts w:ascii="Times New Roman" w:hAnsi="Times New Roman"/>
        </w:rPr>
        <w:t xml:space="preserve"> in Plautus, but most like and near to that in Italian called </w:t>
      </w:r>
      <w:r>
        <w:rPr>
          <w:rFonts w:ascii="Times New Roman" w:hAnsi="Times New Roman"/>
          <w:i/>
        </w:rPr>
        <w:t>Inganni.</w:t>
      </w:r>
      <w:r>
        <w:rPr>
          <w:rFonts w:ascii="Times New Roman" w:hAnsi="Times New Roman"/>
        </w:rPr>
        <w:t>”</w:t>
      </w:r>
      <w:r>
        <w:rPr>
          <w:rStyle w:val="FootnoteReference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Following Manningham’s observation, scholars have focused on</w:t>
      </w:r>
      <w:r w:rsidR="00977903">
        <w:rPr>
          <w:rFonts w:ascii="Times New Roman" w:hAnsi="Times New Roman"/>
        </w:rPr>
        <w:t xml:space="preserve"> </w:t>
      </w:r>
      <w:r w:rsidR="00B37976">
        <w:rPr>
          <w:rFonts w:ascii="Times New Roman" w:hAnsi="Times New Roman"/>
          <w:i/>
        </w:rPr>
        <w:t xml:space="preserve">Twelfth </w:t>
      </w:r>
      <w:r w:rsidR="00B37976" w:rsidRPr="00B37976">
        <w:rPr>
          <w:rFonts w:ascii="Times New Roman" w:hAnsi="Times New Roman"/>
          <w:i/>
        </w:rPr>
        <w:t>Night</w:t>
      </w:r>
      <w:r w:rsidR="00B37976" w:rsidRPr="00B37976">
        <w:rPr>
          <w:rFonts w:ascii="Times New Roman" w:hAnsi="Times New Roman"/>
        </w:rPr>
        <w:t>’s adaptation of Italian sources rather than on Plautus’ influence. However,</w:t>
      </w:r>
      <w:r w:rsidR="00977903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 xml:space="preserve">there is a closer connection between </w:t>
      </w:r>
      <w:r w:rsidR="00B37976" w:rsidRPr="00B37976">
        <w:rPr>
          <w:rFonts w:ascii="Times New Roman" w:hAnsi="Times New Roman"/>
          <w:i/>
        </w:rPr>
        <w:t>Twelfth Night</w:t>
      </w:r>
      <w:r w:rsidR="00B37976" w:rsidRPr="00B37976">
        <w:rPr>
          <w:rFonts w:ascii="Times New Roman" w:hAnsi="Times New Roman"/>
        </w:rPr>
        <w:t xml:space="preserve"> and its Plautine ancestor than critics</w:t>
      </w:r>
      <w:r w:rsidR="00977903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have yet acknowledged. Beyond merely anglicizing a popular Italian plot, Shakespeare</w:t>
      </w:r>
      <w:r w:rsidR="00977903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 xml:space="preserve">reinvigorated that plot by drawing from its </w:t>
      </w:r>
      <w:r w:rsidR="00B37976">
        <w:rPr>
          <w:rFonts w:ascii="Times New Roman" w:hAnsi="Times New Roman"/>
        </w:rPr>
        <w:t xml:space="preserve">Roman </w:t>
      </w:r>
      <w:r w:rsidR="00B37976" w:rsidRPr="00B37976">
        <w:rPr>
          <w:rFonts w:ascii="Times New Roman" w:hAnsi="Times New Roman"/>
        </w:rPr>
        <w:t xml:space="preserve">source, the </w:t>
      </w:r>
      <w:r w:rsidR="00B37976" w:rsidRPr="00B37976">
        <w:rPr>
          <w:rFonts w:ascii="Times New Roman" w:hAnsi="Times New Roman"/>
          <w:i/>
        </w:rPr>
        <w:t>Menaechmi</w:t>
      </w:r>
      <w:r w:rsidR="00B37976" w:rsidRPr="00B37976">
        <w:rPr>
          <w:rFonts w:ascii="Times New Roman" w:hAnsi="Times New Roman"/>
        </w:rPr>
        <w:t>, which he had read in</w:t>
      </w:r>
      <w:r w:rsidR="00977903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 xml:space="preserve">grammar school and which inspired </w:t>
      </w:r>
      <w:r w:rsidR="00B37976" w:rsidRPr="00B37976">
        <w:rPr>
          <w:rFonts w:ascii="Times New Roman" w:hAnsi="Times New Roman"/>
          <w:i/>
        </w:rPr>
        <w:t>The Comedy of Errors</w:t>
      </w:r>
      <w:r w:rsidR="00B37976" w:rsidRPr="00B37976">
        <w:rPr>
          <w:rFonts w:ascii="Times New Roman" w:hAnsi="Times New Roman"/>
        </w:rPr>
        <w:t>.</w:t>
      </w:r>
    </w:p>
    <w:p w14:paraId="294300FB" w14:textId="77777777" w:rsidR="00B37976" w:rsidRPr="00B37976" w:rsidRDefault="00B37976" w:rsidP="00B37976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B37976">
        <w:rPr>
          <w:rFonts w:ascii="Times New Roman" w:hAnsi="Times New Roman"/>
        </w:rPr>
        <w:t xml:space="preserve">In </w:t>
      </w:r>
      <w:r w:rsidRPr="00B37976">
        <w:rPr>
          <w:rFonts w:ascii="Times New Roman" w:hAnsi="Times New Roman"/>
          <w:i/>
        </w:rPr>
        <w:t>Twelfth Night</w:t>
      </w:r>
      <w:r w:rsidRPr="00B37976">
        <w:rPr>
          <w:rFonts w:ascii="Times New Roman" w:hAnsi="Times New Roman"/>
        </w:rPr>
        <w:t xml:space="preserve"> Shakespeare foregrounded the themes of wonder and madness</w:t>
      </w:r>
    </w:p>
    <w:p w14:paraId="0A896977" w14:textId="77777777" w:rsidR="00B37976" w:rsidRPr="00B37976" w:rsidRDefault="00B37976" w:rsidP="00B37976">
      <w:pPr>
        <w:spacing w:line="480" w:lineRule="auto"/>
        <w:contextualSpacing/>
        <w:rPr>
          <w:rFonts w:ascii="Times New Roman" w:hAnsi="Times New Roman"/>
        </w:rPr>
      </w:pPr>
      <w:r w:rsidRPr="00B37976">
        <w:rPr>
          <w:rFonts w:ascii="Times New Roman" w:hAnsi="Times New Roman"/>
        </w:rPr>
        <w:t>that were prominent in the Menaechmi, added Feste as a manipulator of words and action</w:t>
      </w:r>
    </w:p>
    <w:p w14:paraId="549FAA42" w14:textId="77777777" w:rsidR="00B37976" w:rsidRPr="00B37976" w:rsidRDefault="00B37976" w:rsidP="00B37976">
      <w:pPr>
        <w:spacing w:line="480" w:lineRule="auto"/>
        <w:contextualSpacing/>
        <w:rPr>
          <w:rFonts w:ascii="Times New Roman" w:hAnsi="Times New Roman"/>
        </w:rPr>
      </w:pPr>
      <w:r w:rsidRPr="00B37976">
        <w:rPr>
          <w:rFonts w:ascii="Times New Roman" w:hAnsi="Times New Roman"/>
        </w:rPr>
        <w:t>in the tradition of Pseudolus, and molded the opportunistic Menaechmus of Syracuse into</w:t>
      </w:r>
    </w:p>
    <w:p w14:paraId="0C539061" w14:textId="77777777" w:rsidR="00B37976" w:rsidRPr="00B37976" w:rsidRDefault="00B37976" w:rsidP="00B37976">
      <w:pPr>
        <w:spacing w:line="480" w:lineRule="auto"/>
        <w:contextualSpacing/>
        <w:rPr>
          <w:rFonts w:ascii="Times New Roman" w:hAnsi="Times New Roman"/>
        </w:rPr>
      </w:pPr>
      <w:r w:rsidRPr="00B37976">
        <w:rPr>
          <w:rFonts w:ascii="Times New Roman" w:hAnsi="Times New Roman"/>
        </w:rPr>
        <w:t xml:space="preserve">the innocent Sebastian. But the </w:t>
      </w:r>
      <w:r w:rsidRPr="00B37976">
        <w:rPr>
          <w:rFonts w:ascii="Times New Roman" w:hAnsi="Times New Roman"/>
          <w:i/>
        </w:rPr>
        <w:t>Menaechmi</w:t>
      </w:r>
      <w:r w:rsidRPr="00B37976">
        <w:rPr>
          <w:rFonts w:ascii="Times New Roman" w:hAnsi="Times New Roman"/>
        </w:rPr>
        <w:t xml:space="preserve"> influenced not only the content and themes of</w:t>
      </w:r>
    </w:p>
    <w:p w14:paraId="7CD68A03" w14:textId="77777777" w:rsidR="00B37976" w:rsidRPr="00B37976" w:rsidRDefault="00B37976" w:rsidP="00B37976">
      <w:pPr>
        <w:spacing w:line="480" w:lineRule="auto"/>
        <w:contextualSpacing/>
        <w:rPr>
          <w:rFonts w:ascii="Times New Roman" w:hAnsi="Times New Roman"/>
        </w:rPr>
      </w:pPr>
      <w:r w:rsidRPr="00B37976">
        <w:rPr>
          <w:rFonts w:ascii="Times New Roman" w:hAnsi="Times New Roman"/>
          <w:i/>
        </w:rPr>
        <w:t>Twelfth Night</w:t>
      </w:r>
      <w:r w:rsidRPr="00B37976">
        <w:rPr>
          <w:rFonts w:ascii="Times New Roman" w:hAnsi="Times New Roman"/>
        </w:rPr>
        <w:t>, but also its poetic forms. In 1920, Cornelia Coulter first suggested that</w:t>
      </w:r>
      <w:r w:rsidR="00977903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there was some correspondence between Plautus’ varied meters and Shakespeare’s</w:t>
      </w:r>
      <w:r w:rsidR="00977903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 xml:space="preserve">alternation between blank verse, couplets, prose, and song. By juxtaposing </w:t>
      </w:r>
      <w:r w:rsidRPr="00B37976">
        <w:rPr>
          <w:rFonts w:ascii="Times New Roman" w:hAnsi="Times New Roman"/>
          <w:i/>
        </w:rPr>
        <w:t>Twelfth Night</w:t>
      </w:r>
      <w:r w:rsidR="00977903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 xml:space="preserve">and the </w:t>
      </w:r>
      <w:r w:rsidRPr="00B37976">
        <w:rPr>
          <w:rFonts w:ascii="Times New Roman" w:hAnsi="Times New Roman"/>
          <w:i/>
        </w:rPr>
        <w:t>Menaechmi</w:t>
      </w:r>
      <w:r w:rsidRPr="00B37976">
        <w:rPr>
          <w:rFonts w:ascii="Times New Roman" w:hAnsi="Times New Roman"/>
        </w:rPr>
        <w:t>, we can perceive how Shakespeare adapted English verse to effect</w:t>
      </w:r>
      <w:r w:rsidR="00977903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the modulations in tone and character accomplished by Plautus’ iambs, trochees, and</w:t>
      </w:r>
      <w:r w:rsidR="00977903">
        <w:rPr>
          <w:rFonts w:ascii="Times New Roman" w:hAnsi="Times New Roman"/>
        </w:rPr>
        <w:t xml:space="preserve"> </w:t>
      </w:r>
      <w:r w:rsidRPr="00977903">
        <w:rPr>
          <w:rFonts w:ascii="Times New Roman" w:hAnsi="Times New Roman"/>
          <w:i/>
        </w:rPr>
        <w:t>cantica</w:t>
      </w:r>
      <w:r w:rsidRPr="00B37976">
        <w:rPr>
          <w:rFonts w:ascii="Times New Roman" w:hAnsi="Times New Roman"/>
        </w:rPr>
        <w:t>. In this play about music’s role in festivity and love, Shakespeare paid particular</w:t>
      </w:r>
      <w:r w:rsidR="00977903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attention to the musicality of his language, experimenting with the ways song could</w:t>
      </w:r>
      <w:r w:rsidR="00977903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shape a scene’s action and the way rhythm could reveal emotion and character.</w:t>
      </w:r>
    </w:p>
    <w:p w14:paraId="4D799ECF" w14:textId="77777777" w:rsidR="00B37976" w:rsidRPr="00B37976" w:rsidRDefault="00B37976" w:rsidP="006B7262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B37976">
        <w:rPr>
          <w:rFonts w:ascii="Times New Roman" w:hAnsi="Times New Roman"/>
        </w:rPr>
        <w:lastRenderedPageBreak/>
        <w:t>In this paper I will focus on three instances where Plautus’ work especially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influenced Shakespeare’s. Sebastian’s monologue in 4.3, which is a revision and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 xml:space="preserve">combination of two speeches in the </w:t>
      </w:r>
      <w:r w:rsidRPr="00B37976">
        <w:rPr>
          <w:rFonts w:ascii="Times New Roman" w:hAnsi="Times New Roman"/>
          <w:i/>
        </w:rPr>
        <w:t>Menaechmi</w:t>
      </w:r>
      <w:r w:rsidRPr="00B37976">
        <w:rPr>
          <w:rFonts w:ascii="Times New Roman" w:hAnsi="Times New Roman"/>
        </w:rPr>
        <w:t>, shows Shakespeare striving to achieve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in blank verse what Plautus did in trochaic septenarii. The drunken revelry of 2.3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includes both song and musically accompanied physical comedy, emulating Plautus’ use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 xml:space="preserve">of </w:t>
      </w:r>
      <w:r w:rsidRPr="00977903">
        <w:rPr>
          <w:rFonts w:ascii="Times New Roman" w:hAnsi="Times New Roman"/>
          <w:i/>
        </w:rPr>
        <w:t>cantica</w:t>
      </w:r>
      <w:r w:rsidRPr="00B37976">
        <w:rPr>
          <w:rFonts w:ascii="Times New Roman" w:hAnsi="Times New Roman"/>
        </w:rPr>
        <w:t xml:space="preserve"> in action scenes. Finally, Malvolio’s imprisonment and taunting, found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 xml:space="preserve">nowhere in Shakespeare’s other sources, clearly derives from the scene in the </w:t>
      </w:r>
      <w:r w:rsidRPr="00B37976">
        <w:rPr>
          <w:rFonts w:ascii="Times New Roman" w:hAnsi="Times New Roman"/>
          <w:i/>
        </w:rPr>
        <w:t>Menaechmi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when the protagonist is proclaimed mad and nearly hauled off for treatment. Both scenes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hint at the horror of being diagnosed insane, and as counterpoint both combine song and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spoken wordplay in order to maintain a comedic tone.</w:t>
      </w:r>
    </w:p>
    <w:p w14:paraId="4DCE3FA5" w14:textId="77777777" w:rsidR="00840579" w:rsidRPr="003043B0" w:rsidRDefault="00B37976" w:rsidP="006B7262">
      <w:pPr>
        <w:spacing w:line="480" w:lineRule="auto"/>
        <w:ind w:firstLine="720"/>
        <w:contextualSpacing/>
        <w:rPr>
          <w:rFonts w:ascii="Times New Roman" w:hAnsi="Times New Roman"/>
        </w:rPr>
      </w:pPr>
      <w:r w:rsidRPr="00B37976">
        <w:rPr>
          <w:rFonts w:ascii="Times New Roman" w:hAnsi="Times New Roman"/>
          <w:i/>
        </w:rPr>
        <w:t>Twelfth Night</w:t>
      </w:r>
      <w:r w:rsidRPr="00B379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testifies to</w:t>
      </w:r>
      <w:r w:rsidRPr="00B37976">
        <w:rPr>
          <w:rFonts w:ascii="Times New Roman" w:hAnsi="Times New Roman"/>
        </w:rPr>
        <w:t xml:space="preserve"> Shakespeare’s effort to create an English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comedic poetics as versatile and emotive as Plautus’ while exploring themes borrowed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from the Latin poet. Moreover, by investigating Shakespeare’s adaptation of Plautus’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 xml:space="preserve">themes, characters, and forms into English, we can better understand the </w:t>
      </w:r>
      <w:r>
        <w:rPr>
          <w:rFonts w:ascii="Times New Roman" w:hAnsi="Times New Roman"/>
        </w:rPr>
        <w:t xml:space="preserve">ancient </w:t>
      </w:r>
      <w:r w:rsidRPr="00B37976">
        <w:rPr>
          <w:rFonts w:ascii="Times New Roman" w:hAnsi="Times New Roman"/>
        </w:rPr>
        <w:t>Roman</w:t>
      </w:r>
      <w:r w:rsidR="006B7262">
        <w:rPr>
          <w:rFonts w:ascii="Times New Roman" w:hAnsi="Times New Roman"/>
        </w:rPr>
        <w:t xml:space="preserve"> </w:t>
      </w:r>
      <w:r w:rsidRPr="00B37976">
        <w:rPr>
          <w:rFonts w:ascii="Times New Roman" w:hAnsi="Times New Roman"/>
        </w:rPr>
        <w:t>playwright’s poetic techniques, emotional nuances, and humor.</w:t>
      </w:r>
    </w:p>
    <w:p w14:paraId="7C6C6B9D" w14:textId="77777777" w:rsidR="00940572" w:rsidRDefault="00940572" w:rsidP="00940572">
      <w:pPr>
        <w:contextualSpacing/>
        <w:rPr>
          <w:rFonts w:ascii="Times New Roman" w:hAnsi="Times New Roman"/>
        </w:rPr>
      </w:pPr>
    </w:p>
    <w:p w14:paraId="66695B98" w14:textId="77777777" w:rsidR="00940572" w:rsidRDefault="00940572" w:rsidP="0094057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Selected Bibliography</w:t>
      </w:r>
    </w:p>
    <w:p w14:paraId="72EBD645" w14:textId="77777777" w:rsidR="00940572" w:rsidRDefault="00940572" w:rsidP="00940572">
      <w:pPr>
        <w:contextualSpacing/>
        <w:rPr>
          <w:rFonts w:ascii="Times New Roman" w:hAnsi="Times New Roman"/>
        </w:rPr>
      </w:pPr>
    </w:p>
    <w:p w14:paraId="5C87FF2A" w14:textId="77777777" w:rsidR="00940572" w:rsidRDefault="00940572" w:rsidP="00940572">
      <w:pPr>
        <w:contextualSpacing/>
        <w:rPr>
          <w:rFonts w:ascii="Times New Roman" w:hAnsi="Times New Roman"/>
        </w:rPr>
      </w:pPr>
      <w:r w:rsidRPr="00756622">
        <w:rPr>
          <w:rFonts w:ascii="Times New Roman" w:hAnsi="Times New Roman"/>
        </w:rPr>
        <w:t xml:space="preserve">Braun, Ludwig. 1970b. </w:t>
      </w:r>
      <w:r w:rsidRPr="00756622">
        <w:rPr>
          <w:rFonts w:ascii="Times New Roman" w:hAnsi="Times New Roman"/>
          <w:i/>
        </w:rPr>
        <w:t>Die Cantica des Plautus</w:t>
      </w:r>
      <w:r w:rsidRPr="00756622">
        <w:rPr>
          <w:rFonts w:ascii="Times New Roman" w:hAnsi="Times New Roman"/>
        </w:rPr>
        <w:t>. Göttingen.</w:t>
      </w:r>
    </w:p>
    <w:p w14:paraId="6854CFE3" w14:textId="77777777" w:rsidR="00940572" w:rsidRPr="00756622" w:rsidRDefault="00940572" w:rsidP="00940572">
      <w:pPr>
        <w:contextualSpacing/>
        <w:rPr>
          <w:rFonts w:ascii="Times New Roman" w:hAnsi="Times New Roman"/>
        </w:rPr>
      </w:pPr>
    </w:p>
    <w:p w14:paraId="18B82B4F" w14:textId="77777777" w:rsidR="006E45B8" w:rsidRPr="006E45B8" w:rsidRDefault="00940572" w:rsidP="00940572">
      <w:pPr>
        <w:contextualSpacing/>
        <w:rPr>
          <w:rFonts w:ascii="Times New Roman" w:hAnsi="Times New Roman"/>
        </w:rPr>
      </w:pPr>
      <w:r w:rsidRPr="00756622">
        <w:rPr>
          <w:rFonts w:ascii="Times New Roman" w:hAnsi="Times New Roman"/>
        </w:rPr>
        <w:t xml:space="preserve">Coulter, Cornelia. 1920. “The Plautine Tradition in Shakespeare.” </w:t>
      </w:r>
      <w:r w:rsidRPr="006E45B8">
        <w:rPr>
          <w:rFonts w:ascii="Times New Roman" w:hAnsi="Times New Roman"/>
          <w:i/>
        </w:rPr>
        <w:t xml:space="preserve">Journal of English and </w:t>
      </w:r>
      <w:r w:rsidRPr="006E45B8">
        <w:rPr>
          <w:rFonts w:ascii="Times New Roman" w:hAnsi="Times New Roman"/>
          <w:i/>
        </w:rPr>
        <w:tab/>
        <w:t>Germanic Philology</w:t>
      </w:r>
      <w:r w:rsidRPr="006E45B8">
        <w:rPr>
          <w:rFonts w:ascii="Times New Roman" w:hAnsi="Times New Roman"/>
        </w:rPr>
        <w:t xml:space="preserve"> 19: 66-83.</w:t>
      </w:r>
    </w:p>
    <w:p w14:paraId="6C622221" w14:textId="77777777" w:rsidR="00940572" w:rsidRPr="006E45B8" w:rsidRDefault="00940572" w:rsidP="00940572">
      <w:pPr>
        <w:contextualSpacing/>
        <w:rPr>
          <w:rFonts w:ascii="Times New Roman" w:hAnsi="Times New Roman"/>
        </w:rPr>
      </w:pPr>
    </w:p>
    <w:p w14:paraId="0BC4412E" w14:textId="77777777" w:rsidR="006E45B8" w:rsidRPr="006E45B8" w:rsidRDefault="006E45B8" w:rsidP="00940572">
      <w:pPr>
        <w:contextualSpacing/>
        <w:rPr>
          <w:rFonts w:ascii="Times New Roman" w:hAnsi="Times New Roman"/>
        </w:rPr>
      </w:pPr>
      <w:r w:rsidRPr="006E45B8">
        <w:rPr>
          <w:rFonts w:ascii="Times New Roman" w:hAnsi="Times New Roman"/>
        </w:rPr>
        <w:t xml:space="preserve">Daalder, Joost. 1997. “Perspectives of madness in </w:t>
      </w:r>
      <w:r w:rsidRPr="006E45B8">
        <w:rPr>
          <w:rFonts w:ascii="Times New Roman" w:hAnsi="Times New Roman"/>
          <w:i/>
        </w:rPr>
        <w:t>Twelfth Night</w:t>
      </w:r>
      <w:r w:rsidRPr="006E45B8">
        <w:rPr>
          <w:rFonts w:ascii="Times New Roman" w:hAnsi="Times New Roman"/>
        </w:rPr>
        <w:t xml:space="preserve">.” </w:t>
      </w:r>
      <w:r w:rsidRPr="006E45B8">
        <w:rPr>
          <w:rFonts w:ascii="Times New Roman" w:hAnsi="Times New Roman"/>
          <w:i/>
        </w:rPr>
        <w:t>English Studies</w:t>
      </w:r>
      <w:r w:rsidRPr="006E45B8">
        <w:rPr>
          <w:rFonts w:ascii="Times New Roman" w:hAnsi="Times New Roman"/>
        </w:rPr>
        <w:t xml:space="preserve"> 2: 105-110.</w:t>
      </w:r>
    </w:p>
    <w:p w14:paraId="0305387D" w14:textId="77777777" w:rsidR="00940572" w:rsidRPr="006E45B8" w:rsidRDefault="00940572" w:rsidP="00940572">
      <w:pPr>
        <w:contextualSpacing/>
        <w:rPr>
          <w:rFonts w:ascii="Times New Roman" w:hAnsi="Times New Roman"/>
        </w:rPr>
      </w:pPr>
    </w:p>
    <w:p w14:paraId="7A54BE6A" w14:textId="77777777" w:rsidR="00940572" w:rsidRPr="006E45B8" w:rsidRDefault="00940572" w:rsidP="00940572">
      <w:pPr>
        <w:contextualSpacing/>
        <w:rPr>
          <w:rFonts w:ascii="Times New Roman" w:hAnsi="Times New Roman" w:cs="Verdana"/>
          <w:color w:val="000000" w:themeColor="text1"/>
        </w:rPr>
      </w:pPr>
      <w:r w:rsidRPr="006E45B8">
        <w:rPr>
          <w:rFonts w:ascii="Times New Roman" w:hAnsi="Times New Roman" w:cs="Verdana"/>
          <w:color w:val="000000" w:themeColor="text1"/>
        </w:rPr>
        <w:t xml:space="preserve">Fortson, Benjamin Wynn. 2008. </w:t>
      </w:r>
      <w:r w:rsidRPr="006E45B8">
        <w:rPr>
          <w:rFonts w:ascii="Times New Roman" w:hAnsi="Times New Roman" w:cs="Verdana"/>
          <w:i/>
          <w:color w:val="000000" w:themeColor="text1"/>
        </w:rPr>
        <w:t>La</w:t>
      </w:r>
      <w:r w:rsidR="0074671E">
        <w:rPr>
          <w:rFonts w:ascii="Times New Roman" w:hAnsi="Times New Roman" w:cs="Verdana"/>
          <w:i/>
          <w:color w:val="000000" w:themeColor="text1"/>
        </w:rPr>
        <w:t>nguage and Rhythm in Plautus : Synchronic and D</w:t>
      </w:r>
      <w:r w:rsidRPr="006E45B8">
        <w:rPr>
          <w:rFonts w:ascii="Times New Roman" w:hAnsi="Times New Roman" w:cs="Verdana"/>
          <w:i/>
          <w:color w:val="000000" w:themeColor="text1"/>
        </w:rPr>
        <w:t xml:space="preserve">iachronic </w:t>
      </w:r>
      <w:r w:rsidRPr="006E45B8">
        <w:rPr>
          <w:rFonts w:ascii="Times New Roman" w:hAnsi="Times New Roman" w:cs="Verdana"/>
          <w:i/>
          <w:color w:val="000000" w:themeColor="text1"/>
        </w:rPr>
        <w:tab/>
        <w:t xml:space="preserve">studies. </w:t>
      </w:r>
      <w:r w:rsidRPr="006E45B8">
        <w:rPr>
          <w:rFonts w:ascii="Times New Roman" w:hAnsi="Times New Roman" w:cs="Verdana"/>
          <w:color w:val="000000" w:themeColor="text1"/>
        </w:rPr>
        <w:t>Berlin.</w:t>
      </w:r>
    </w:p>
    <w:p w14:paraId="2019F2C1" w14:textId="77777777" w:rsidR="00940572" w:rsidRPr="00756622" w:rsidRDefault="00940572" w:rsidP="00940572">
      <w:pPr>
        <w:contextualSpacing/>
        <w:rPr>
          <w:rFonts w:ascii="Times New Roman" w:hAnsi="Times New Roman"/>
        </w:rPr>
      </w:pPr>
    </w:p>
    <w:p w14:paraId="1E82A577" w14:textId="77777777" w:rsidR="0068601E" w:rsidRPr="0068601E" w:rsidRDefault="00940572" w:rsidP="0094057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0000" w:themeColor="text1"/>
          <w:szCs w:val="26"/>
        </w:rPr>
      </w:pPr>
      <w:r w:rsidRPr="00756622">
        <w:rPr>
          <w:rFonts w:ascii="Times New Roman" w:hAnsi="Times New Roman" w:cs="Arial"/>
          <w:color w:val="000000" w:themeColor="text1"/>
          <w:szCs w:val="26"/>
        </w:rPr>
        <w:t xml:space="preserve">Hanson, Kristin 2006. </w:t>
      </w:r>
      <w:hyperlink r:id="rId7" w:history="1">
        <w:r w:rsidRPr="00756622">
          <w:rPr>
            <w:rFonts w:ascii="Times New Roman" w:hAnsi="Times New Roman" w:cs="Arial"/>
            <w:color w:val="000000" w:themeColor="text1"/>
            <w:szCs w:val="26"/>
            <w:u w:val="single" w:color="17659E"/>
          </w:rPr>
          <w:t xml:space="preserve">"Shakespeare's Lyric and Dramatic Metrical Styles." </w:t>
        </w:r>
      </w:hyperlink>
      <w:r w:rsidRPr="00756622">
        <w:rPr>
          <w:rFonts w:ascii="Times New Roman" w:hAnsi="Times New Roman" w:cs="Arial"/>
          <w:iCs/>
          <w:color w:val="000000" w:themeColor="text1"/>
          <w:szCs w:val="26"/>
        </w:rPr>
        <w:t>In</w:t>
      </w:r>
      <w:r w:rsidRPr="00756622">
        <w:rPr>
          <w:rFonts w:ascii="Times New Roman" w:hAnsi="Times New Roman" w:cs="Arial"/>
          <w:color w:val="000000" w:themeColor="text1"/>
          <w:szCs w:val="26"/>
        </w:rPr>
        <w:t xml:space="preserve"> Dresher, B. Elan </w:t>
      </w:r>
      <w:r w:rsidRPr="00756622">
        <w:rPr>
          <w:rFonts w:ascii="Times New Roman" w:hAnsi="Times New Roman" w:cs="Arial"/>
          <w:color w:val="000000" w:themeColor="text1"/>
          <w:szCs w:val="26"/>
        </w:rPr>
        <w:tab/>
        <w:t>and  Friedberg, Nila, eds.</w:t>
      </w:r>
      <w:r w:rsidR="00D10D57">
        <w:rPr>
          <w:rFonts w:ascii="Times New Roman" w:hAnsi="Times New Roman" w:cs="Arial"/>
          <w:color w:val="000000" w:themeColor="text1"/>
          <w:szCs w:val="26"/>
        </w:rPr>
        <w:t xml:space="preserve"> </w:t>
      </w:r>
      <w:r w:rsidRPr="00756622">
        <w:rPr>
          <w:rFonts w:ascii="Times New Roman" w:hAnsi="Times New Roman" w:cs="Arial"/>
          <w:i/>
          <w:iCs/>
          <w:color w:val="000000" w:themeColor="text1"/>
          <w:szCs w:val="26"/>
        </w:rPr>
        <w:t>Formal Approaches to Poetry: Recent Development in Metrics</w:t>
      </w:r>
      <w:r w:rsidRPr="00756622">
        <w:rPr>
          <w:rFonts w:ascii="Times New Roman" w:hAnsi="Times New Roman" w:cs="Arial"/>
          <w:color w:val="000000" w:themeColor="text1"/>
          <w:szCs w:val="26"/>
        </w:rPr>
        <w:t xml:space="preserve">. </w:t>
      </w:r>
      <w:r w:rsidRPr="00756622">
        <w:rPr>
          <w:rFonts w:ascii="Times New Roman" w:hAnsi="Times New Roman" w:cs="Arial"/>
          <w:color w:val="000000" w:themeColor="text1"/>
          <w:szCs w:val="26"/>
        </w:rPr>
        <w:tab/>
        <w:t>Berlin, 111-33.</w:t>
      </w:r>
    </w:p>
    <w:p w14:paraId="1512876C" w14:textId="77777777" w:rsidR="00940572" w:rsidRPr="0068601E" w:rsidRDefault="00336466" w:rsidP="0094057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0000" w:themeColor="text1"/>
          <w:szCs w:val="26"/>
        </w:rPr>
      </w:pPr>
      <w:r>
        <w:rPr>
          <w:rFonts w:ascii="Times New Roman" w:hAnsi="Times New Roman" w:cs="Arial"/>
          <w:color w:val="000000" w:themeColor="text1"/>
          <w:szCs w:val="26"/>
        </w:rPr>
        <w:br w:type="page"/>
      </w:r>
    </w:p>
    <w:p w14:paraId="02E1EEC3" w14:textId="77777777" w:rsidR="0068601E" w:rsidRPr="0068601E" w:rsidRDefault="0068601E" w:rsidP="0094057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68601E">
        <w:rPr>
          <w:rFonts w:ascii="Times New Roman" w:hAnsi="Times New Roman"/>
        </w:rPr>
        <w:lastRenderedPageBreak/>
        <w:t xml:space="preserve">Miola, Robert S. 1994. </w:t>
      </w:r>
      <w:r w:rsidRPr="0068601E">
        <w:rPr>
          <w:rFonts w:ascii="Times New Roman" w:hAnsi="Times New Roman"/>
          <w:i/>
        </w:rPr>
        <w:t xml:space="preserve">Shakespeare and Classical Comedy: The Influence of Plautus and </w:t>
      </w:r>
      <w:r w:rsidRPr="0068601E">
        <w:rPr>
          <w:rFonts w:ascii="Times New Roman" w:hAnsi="Times New Roman"/>
          <w:i/>
        </w:rPr>
        <w:tab/>
        <w:t>Terence</w:t>
      </w:r>
      <w:r w:rsidRPr="0068601E">
        <w:rPr>
          <w:rFonts w:ascii="Times New Roman" w:hAnsi="Times New Roman"/>
        </w:rPr>
        <w:t>. Oxford.</w:t>
      </w:r>
    </w:p>
    <w:p w14:paraId="30916EFB" w14:textId="77777777" w:rsidR="00940572" w:rsidRPr="0068601E" w:rsidRDefault="00940572" w:rsidP="00940572">
      <w:pPr>
        <w:widowControl w:val="0"/>
        <w:autoSpaceDE w:val="0"/>
        <w:autoSpaceDN w:val="0"/>
        <w:adjustRightInd w:val="0"/>
        <w:rPr>
          <w:rFonts w:ascii="Times New Roman" w:hAnsi="Times New Roman" w:cs="Arial"/>
          <w:color w:val="000000" w:themeColor="text1"/>
          <w:szCs w:val="26"/>
        </w:rPr>
      </w:pPr>
    </w:p>
    <w:p w14:paraId="565B593E" w14:textId="77777777" w:rsidR="00940572" w:rsidRDefault="00940572" w:rsidP="00940572">
      <w:pPr>
        <w:contextualSpacing/>
        <w:rPr>
          <w:rFonts w:ascii="Times New Roman" w:hAnsi="Times New Roman" w:cs="Verdana"/>
          <w:color w:val="000000" w:themeColor="text1"/>
        </w:rPr>
      </w:pPr>
      <w:r w:rsidRPr="00756622">
        <w:rPr>
          <w:rFonts w:ascii="Times New Roman" w:hAnsi="Times New Roman" w:cs="Verdana"/>
          <w:color w:val="000000" w:themeColor="text1"/>
        </w:rPr>
        <w:t xml:space="preserve">Moore, Timothy J. 1998 “Music and structure in Roman comedy.” </w:t>
      </w:r>
      <w:hyperlink r:id="rId8" w:history="1">
        <w:r w:rsidRPr="00756622">
          <w:rPr>
            <w:rFonts w:ascii="Times New Roman" w:hAnsi="Times New Roman" w:cs="Verdana"/>
            <w:i/>
            <w:color w:val="000000" w:themeColor="text1"/>
          </w:rPr>
          <w:t>AJPh</w:t>
        </w:r>
      </w:hyperlink>
      <w:r w:rsidRPr="00756622">
        <w:rPr>
          <w:rFonts w:ascii="Times New Roman" w:hAnsi="Times New Roman" w:cs="Verdana"/>
          <w:color w:val="000000" w:themeColor="text1"/>
        </w:rPr>
        <w:t xml:space="preserve">  119 (2) : 245-273.</w:t>
      </w:r>
    </w:p>
    <w:p w14:paraId="097B8A00" w14:textId="77777777" w:rsidR="00940572" w:rsidRPr="00756622" w:rsidRDefault="00940572" w:rsidP="00940572">
      <w:pPr>
        <w:contextualSpacing/>
        <w:rPr>
          <w:rFonts w:ascii="Times New Roman" w:hAnsi="Times New Roman"/>
        </w:rPr>
      </w:pPr>
    </w:p>
    <w:p w14:paraId="6369D9BF" w14:textId="77777777" w:rsidR="00940572" w:rsidRDefault="00940572" w:rsidP="0074671E">
      <w:pPr>
        <w:contextualSpacing/>
        <w:rPr>
          <w:rFonts w:ascii="Times New Roman" w:hAnsi="Times New Roman"/>
        </w:rPr>
      </w:pPr>
      <w:r w:rsidRPr="00756622">
        <w:rPr>
          <w:rFonts w:ascii="Times New Roman" w:hAnsi="Times New Roman"/>
        </w:rPr>
        <w:t xml:space="preserve">Riehle, Wolfgang. 1990. </w:t>
      </w:r>
      <w:r w:rsidR="0074671E">
        <w:rPr>
          <w:rFonts w:ascii="Times New Roman" w:hAnsi="Times New Roman"/>
          <w:i/>
        </w:rPr>
        <w:t>Shakespeare, Plautus and the Humanist T</w:t>
      </w:r>
      <w:r w:rsidRPr="00756622">
        <w:rPr>
          <w:rFonts w:ascii="Times New Roman" w:hAnsi="Times New Roman"/>
          <w:i/>
        </w:rPr>
        <w:t>radition.</w:t>
      </w:r>
      <w:r w:rsidRPr="00756622">
        <w:rPr>
          <w:rFonts w:ascii="Times New Roman" w:hAnsi="Times New Roman"/>
        </w:rPr>
        <w:t xml:space="preserve"> Cambridge</w:t>
      </w:r>
      <w:r w:rsidR="0074671E">
        <w:rPr>
          <w:rFonts w:ascii="Times New Roman" w:hAnsi="Times New Roman"/>
        </w:rPr>
        <w:t>.</w:t>
      </w:r>
    </w:p>
    <w:p w14:paraId="6ED3539E" w14:textId="77777777" w:rsidR="00940572" w:rsidRPr="00756622" w:rsidRDefault="00940572" w:rsidP="00940572">
      <w:pPr>
        <w:contextualSpacing/>
        <w:rPr>
          <w:rFonts w:ascii="Times New Roman" w:hAnsi="Times New Roman"/>
        </w:rPr>
      </w:pPr>
    </w:p>
    <w:p w14:paraId="3C3BCF6E" w14:textId="77777777" w:rsidR="002E4072" w:rsidRPr="003E5A1E" w:rsidRDefault="00940572" w:rsidP="00940572">
      <w:pPr>
        <w:contextualSpacing/>
        <w:rPr>
          <w:rFonts w:ascii="Times New Roman" w:hAnsi="Times New Roman"/>
        </w:rPr>
      </w:pPr>
      <w:r w:rsidRPr="00756622">
        <w:rPr>
          <w:rFonts w:ascii="Times New Roman" w:hAnsi="Times New Roman" w:cs="Arial"/>
          <w:color w:val="000000" w:themeColor="text1"/>
          <w:szCs w:val="26"/>
        </w:rPr>
        <w:t xml:space="preserve">Wright, George T. 1988. </w:t>
      </w:r>
      <w:r w:rsidRPr="00756622">
        <w:rPr>
          <w:rFonts w:ascii="Times New Roman" w:hAnsi="Times New Roman" w:cs="Arial"/>
          <w:i/>
          <w:color w:val="000000" w:themeColor="text1"/>
          <w:szCs w:val="26"/>
        </w:rPr>
        <w:t xml:space="preserve">Shakespeare’s Metrical Art. </w:t>
      </w:r>
      <w:r w:rsidRPr="00756622">
        <w:rPr>
          <w:rFonts w:ascii="Times New Roman" w:hAnsi="Times New Roman" w:cs="Arial"/>
          <w:color w:val="000000" w:themeColor="text1"/>
          <w:szCs w:val="26"/>
        </w:rPr>
        <w:t>Berkeley.</w:t>
      </w:r>
    </w:p>
    <w:sectPr w:rsidR="002E4072" w:rsidRPr="003E5A1E" w:rsidSect="003E5A1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E85C5" w14:textId="77777777" w:rsidR="002C2F95" w:rsidRDefault="00473179">
      <w:r>
        <w:separator/>
      </w:r>
    </w:p>
  </w:endnote>
  <w:endnote w:type="continuationSeparator" w:id="0">
    <w:p w14:paraId="7366E885" w14:textId="77777777" w:rsidR="002C2F95" w:rsidRDefault="0047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192B0" w14:textId="77777777" w:rsidR="002C2F95" w:rsidRDefault="00473179">
      <w:r>
        <w:separator/>
      </w:r>
    </w:p>
  </w:footnote>
  <w:footnote w:type="continuationSeparator" w:id="0">
    <w:p w14:paraId="2D59E866" w14:textId="77777777" w:rsidR="002C2F95" w:rsidRDefault="00473179">
      <w:r>
        <w:continuationSeparator/>
      </w:r>
    </w:p>
  </w:footnote>
  <w:footnote w:id="1">
    <w:p w14:paraId="6AEFFEC4" w14:textId="77777777" w:rsidR="00AC3992" w:rsidRPr="00D10D57" w:rsidRDefault="00AC3992">
      <w:pPr>
        <w:pStyle w:val="FootnoteText"/>
        <w:rPr>
          <w:rFonts w:ascii="Times New Roman" w:hAnsi="Times New Roman"/>
          <w:sz w:val="22"/>
        </w:rPr>
      </w:pPr>
      <w:r w:rsidRPr="00D10D57">
        <w:rPr>
          <w:rStyle w:val="FootnoteReference"/>
          <w:rFonts w:ascii="Times New Roman" w:hAnsi="Times New Roman"/>
          <w:sz w:val="22"/>
        </w:rPr>
        <w:footnoteRef/>
      </w:r>
      <w:r w:rsidRPr="00D10D57">
        <w:rPr>
          <w:rFonts w:ascii="Times New Roman" w:hAnsi="Times New Roman"/>
          <w:sz w:val="22"/>
        </w:rPr>
        <w:t xml:space="preserve"> qtd. in Bullough, Geoffery. 1957. </w:t>
      </w:r>
      <w:r w:rsidRPr="00D10D57">
        <w:rPr>
          <w:rFonts w:ascii="Times New Roman" w:hAnsi="Times New Roman"/>
          <w:i/>
          <w:sz w:val="22"/>
        </w:rPr>
        <w:t>The Narrative and Dramatic Sources of Shakespeare</w:t>
      </w:r>
      <w:r w:rsidRPr="00D10D57">
        <w:rPr>
          <w:rFonts w:ascii="Times New Roman" w:hAnsi="Times New Roman"/>
          <w:sz w:val="22"/>
        </w:rPr>
        <w:t>, p. 269.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1E"/>
    <w:rsid w:val="000225B3"/>
    <w:rsid w:val="000271F8"/>
    <w:rsid w:val="0005513E"/>
    <w:rsid w:val="00064DD0"/>
    <w:rsid w:val="0006521E"/>
    <w:rsid w:val="0007356E"/>
    <w:rsid w:val="0008502B"/>
    <w:rsid w:val="00094B7A"/>
    <w:rsid w:val="000C134D"/>
    <w:rsid w:val="000E3270"/>
    <w:rsid w:val="00101EA4"/>
    <w:rsid w:val="001044CB"/>
    <w:rsid w:val="00164B6F"/>
    <w:rsid w:val="0017614D"/>
    <w:rsid w:val="00180200"/>
    <w:rsid w:val="00191256"/>
    <w:rsid w:val="001B0B63"/>
    <w:rsid w:val="001C1730"/>
    <w:rsid w:val="002101C7"/>
    <w:rsid w:val="00225619"/>
    <w:rsid w:val="002C2F95"/>
    <w:rsid w:val="002E4072"/>
    <w:rsid w:val="002E430F"/>
    <w:rsid w:val="003043B0"/>
    <w:rsid w:val="003058F9"/>
    <w:rsid w:val="00321EB6"/>
    <w:rsid w:val="00336466"/>
    <w:rsid w:val="00336A65"/>
    <w:rsid w:val="0036697B"/>
    <w:rsid w:val="003E5A1E"/>
    <w:rsid w:val="00447848"/>
    <w:rsid w:val="00473179"/>
    <w:rsid w:val="004C34AE"/>
    <w:rsid w:val="004E1791"/>
    <w:rsid w:val="00517F93"/>
    <w:rsid w:val="0052195F"/>
    <w:rsid w:val="00532802"/>
    <w:rsid w:val="005655F9"/>
    <w:rsid w:val="00590F73"/>
    <w:rsid w:val="005C3008"/>
    <w:rsid w:val="00676D4A"/>
    <w:rsid w:val="0068601E"/>
    <w:rsid w:val="006B7262"/>
    <w:rsid w:val="006C6703"/>
    <w:rsid w:val="006E45B8"/>
    <w:rsid w:val="006F7F78"/>
    <w:rsid w:val="00725C51"/>
    <w:rsid w:val="0074671E"/>
    <w:rsid w:val="00756622"/>
    <w:rsid w:val="00764DAD"/>
    <w:rsid w:val="007F233E"/>
    <w:rsid w:val="007F355F"/>
    <w:rsid w:val="007F3E13"/>
    <w:rsid w:val="0081027D"/>
    <w:rsid w:val="008320C9"/>
    <w:rsid w:val="00840579"/>
    <w:rsid w:val="0089151F"/>
    <w:rsid w:val="008D4351"/>
    <w:rsid w:val="008F1FA7"/>
    <w:rsid w:val="00940572"/>
    <w:rsid w:val="0096698D"/>
    <w:rsid w:val="00977903"/>
    <w:rsid w:val="009F25B7"/>
    <w:rsid w:val="00A8688A"/>
    <w:rsid w:val="00AB662B"/>
    <w:rsid w:val="00AC3992"/>
    <w:rsid w:val="00AD6EFF"/>
    <w:rsid w:val="00B37976"/>
    <w:rsid w:val="00B52AC9"/>
    <w:rsid w:val="00BE67E5"/>
    <w:rsid w:val="00C765AD"/>
    <w:rsid w:val="00C9237D"/>
    <w:rsid w:val="00CB5819"/>
    <w:rsid w:val="00D10D57"/>
    <w:rsid w:val="00D7210B"/>
    <w:rsid w:val="00D72B31"/>
    <w:rsid w:val="00DC1136"/>
    <w:rsid w:val="00F120BB"/>
    <w:rsid w:val="00F144D0"/>
    <w:rsid w:val="00F23A16"/>
    <w:rsid w:val="00F41D9B"/>
    <w:rsid w:val="00F97B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F34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65A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5AD"/>
  </w:style>
  <w:style w:type="character" w:styleId="FootnoteReference">
    <w:name w:val="footnote reference"/>
    <w:basedOn w:val="DefaultParagraphFont"/>
    <w:uiPriority w:val="99"/>
    <w:semiHidden/>
    <w:unhideWhenUsed/>
    <w:rsid w:val="00C765A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65A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5AD"/>
  </w:style>
  <w:style w:type="character" w:styleId="FootnoteReference">
    <w:name w:val="footnote reference"/>
    <w:basedOn w:val="DefaultParagraphFont"/>
    <w:uiPriority w:val="99"/>
    <w:semiHidden/>
    <w:unhideWhenUsed/>
    <w:rsid w:val="00C76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ollections.chadwyck.com.ezp1.lib.umn.edu/searchFullrec.do?&amp;resultNum=9&amp;entries=39&amp;area=mla&amp;forward=critref_fr&amp;queryId=../session/1315609987_9533&amp;trailId=131B5F8800A&amp;fromArea=mla" TargetMode="External"/><Relationship Id="rId8" Type="http://schemas.openxmlformats.org/officeDocument/2006/relationships/hyperlink" Target="http://www.annee-philologique.com.ezp2.lib.umn.edu/aph/index.php?do=notice&amp;num=253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Emily M Sandquist</cp:lastModifiedBy>
  <cp:revision>3</cp:revision>
  <dcterms:created xsi:type="dcterms:W3CDTF">2011-09-22T19:02:00Z</dcterms:created>
  <dcterms:modified xsi:type="dcterms:W3CDTF">2011-09-30T17:12:00Z</dcterms:modified>
</cp:coreProperties>
</file>