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0FEC5" w14:textId="77777777" w:rsidR="006362EA" w:rsidRPr="00A83895" w:rsidRDefault="006362EA" w:rsidP="00625EA4">
      <w:pPr>
        <w:jc w:val="center"/>
        <w:rPr>
          <w:rFonts w:ascii="Times New Roman" w:hAnsi="Times New Roman"/>
        </w:rPr>
      </w:pPr>
      <w:r w:rsidRPr="00A83895">
        <w:rPr>
          <w:rFonts w:ascii="Times New Roman" w:hAnsi="Times New Roman"/>
        </w:rPr>
        <w:t>Allusive Concord: Tacitus</w:t>
      </w:r>
      <w:r w:rsidRPr="00A83895">
        <w:rPr>
          <w:rFonts w:ascii="Times New Roman" w:hAnsi="Times New Roman"/>
          <w:i/>
        </w:rPr>
        <w:t>, Histories</w:t>
      </w:r>
      <w:r w:rsidRPr="00A83895">
        <w:rPr>
          <w:rFonts w:ascii="Times New Roman" w:hAnsi="Times New Roman"/>
        </w:rPr>
        <w:t xml:space="preserve"> 2.37-38 and </w:t>
      </w:r>
      <w:r w:rsidRPr="00A83895">
        <w:rPr>
          <w:rFonts w:ascii="Times New Roman" w:hAnsi="Times New Roman"/>
          <w:i/>
        </w:rPr>
        <w:t xml:space="preserve">Bellum </w:t>
      </w:r>
      <w:proofErr w:type="spellStart"/>
      <w:r w:rsidRPr="00A83895">
        <w:rPr>
          <w:rFonts w:ascii="Times New Roman" w:hAnsi="Times New Roman"/>
          <w:i/>
        </w:rPr>
        <w:t>Catilinae</w:t>
      </w:r>
      <w:proofErr w:type="spellEnd"/>
      <w:r w:rsidRPr="00A83895">
        <w:rPr>
          <w:rFonts w:ascii="Times New Roman" w:hAnsi="Times New Roman"/>
          <w:i/>
        </w:rPr>
        <w:t xml:space="preserve"> </w:t>
      </w:r>
      <w:r w:rsidRPr="00A83895">
        <w:rPr>
          <w:rFonts w:ascii="Times New Roman" w:hAnsi="Times New Roman"/>
        </w:rPr>
        <w:t>6</w:t>
      </w:r>
      <w:r w:rsidR="00D856DD" w:rsidRPr="00A83895">
        <w:rPr>
          <w:rFonts w:ascii="Times New Roman" w:hAnsi="Times New Roman"/>
        </w:rPr>
        <w:t>.1</w:t>
      </w:r>
      <w:r w:rsidRPr="00A83895">
        <w:rPr>
          <w:rFonts w:ascii="Times New Roman" w:hAnsi="Times New Roman"/>
        </w:rPr>
        <w:t xml:space="preserve"> </w:t>
      </w:r>
    </w:p>
    <w:p w14:paraId="21EAB9A4" w14:textId="77777777" w:rsidR="006362EA" w:rsidRDefault="006362EA" w:rsidP="007076F3">
      <w:pPr>
        <w:rPr>
          <w:rFonts w:ascii="Times New Roman" w:hAnsi="Times New Roman"/>
        </w:rPr>
      </w:pPr>
    </w:p>
    <w:p w14:paraId="44E08C8A" w14:textId="1711312D" w:rsidR="007076F3" w:rsidRDefault="007076F3" w:rsidP="007076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Tacitus, </w:t>
      </w:r>
      <w:r w:rsidRPr="00C0615F">
        <w:rPr>
          <w:rFonts w:ascii="Times New Roman" w:hAnsi="Times New Roman"/>
          <w:i/>
        </w:rPr>
        <w:t xml:space="preserve">Histories </w:t>
      </w:r>
      <w:r>
        <w:rPr>
          <w:rFonts w:ascii="Times New Roman" w:hAnsi="Times New Roman"/>
        </w:rPr>
        <w:t xml:space="preserve">2.37-38 employs allusions to the </w:t>
      </w:r>
      <w:r w:rsidRPr="00A61798">
        <w:rPr>
          <w:rFonts w:ascii="Times New Roman" w:hAnsi="Times New Roman"/>
          <w:i/>
        </w:rPr>
        <w:t xml:space="preserve">Bellum </w:t>
      </w:r>
      <w:proofErr w:type="spellStart"/>
      <w:r w:rsidRPr="00A61798">
        <w:rPr>
          <w:rFonts w:ascii="Times New Roman" w:hAnsi="Times New Roman"/>
          <w:i/>
        </w:rPr>
        <w:t>Catilinae</w:t>
      </w:r>
      <w:proofErr w:type="spellEnd"/>
      <w:r>
        <w:rPr>
          <w:rFonts w:ascii="Times New Roman" w:hAnsi="Times New Roman"/>
        </w:rPr>
        <w:t xml:space="preserve"> to sugges</w:t>
      </w:r>
      <w:r w:rsidR="009551F5">
        <w:rPr>
          <w:rFonts w:ascii="Times New Roman" w:hAnsi="Times New Roman"/>
        </w:rPr>
        <w:t xml:space="preserve">t that concord in </w:t>
      </w:r>
      <w:r w:rsidR="0012479D">
        <w:rPr>
          <w:rFonts w:ascii="Times New Roman" w:hAnsi="Times New Roman"/>
        </w:rPr>
        <w:t xml:space="preserve">the </w:t>
      </w:r>
      <w:r w:rsidR="009551F5">
        <w:rPr>
          <w:rFonts w:ascii="Times New Roman" w:hAnsi="Times New Roman"/>
        </w:rPr>
        <w:t xml:space="preserve">Roman </w:t>
      </w:r>
      <w:r w:rsidR="007047AF">
        <w:rPr>
          <w:rFonts w:ascii="Times New Roman" w:hAnsi="Times New Roman"/>
        </w:rPr>
        <w:t xml:space="preserve">state </w:t>
      </w:r>
      <w:r w:rsidR="006362EA">
        <w:rPr>
          <w:rFonts w:ascii="Times New Roman" w:hAnsi="Times New Roman"/>
        </w:rPr>
        <w:t>must have</w:t>
      </w:r>
      <w:r w:rsidR="00981684">
        <w:rPr>
          <w:rFonts w:ascii="Times New Roman" w:hAnsi="Times New Roman"/>
        </w:rPr>
        <w:t xml:space="preserve"> been</w:t>
      </w:r>
      <w:r>
        <w:rPr>
          <w:rFonts w:ascii="Times New Roman" w:hAnsi="Times New Roman"/>
        </w:rPr>
        <w:t xml:space="preserve"> achieved at least once </w:t>
      </w:r>
      <w:r w:rsidR="007047AF">
        <w:rPr>
          <w:rFonts w:ascii="Times New Roman" w:hAnsi="Times New Roman"/>
        </w:rPr>
        <w:t xml:space="preserve">in its history </w:t>
      </w:r>
      <w:r w:rsidR="00FE4CE6">
        <w:rPr>
          <w:rFonts w:ascii="Times New Roman" w:hAnsi="Times New Roman"/>
        </w:rPr>
        <w:t xml:space="preserve">and </w:t>
      </w:r>
      <w:r w:rsidR="009551F5">
        <w:rPr>
          <w:rFonts w:ascii="Times New Roman" w:hAnsi="Times New Roman"/>
        </w:rPr>
        <w:t xml:space="preserve">potentially </w:t>
      </w:r>
      <w:r w:rsidR="00FE4CE6">
        <w:rPr>
          <w:rFonts w:ascii="Times New Roman" w:hAnsi="Times New Roman"/>
        </w:rPr>
        <w:t>could be again</w:t>
      </w:r>
      <w:r w:rsidR="007047AF">
        <w:rPr>
          <w:rFonts w:ascii="Times New Roman" w:hAnsi="Times New Roman"/>
        </w:rPr>
        <w:t>,</w:t>
      </w:r>
      <w:r w:rsidR="00FE4CE6">
        <w:rPr>
          <w:rFonts w:ascii="Times New Roman" w:hAnsi="Times New Roman"/>
        </w:rPr>
        <w:t xml:space="preserve"> </w:t>
      </w:r>
      <w:r w:rsidR="00150D32">
        <w:rPr>
          <w:rFonts w:ascii="Times New Roman" w:hAnsi="Times New Roman"/>
        </w:rPr>
        <w:t xml:space="preserve">specifically </w:t>
      </w:r>
      <w:r>
        <w:rPr>
          <w:rFonts w:ascii="Times New Roman" w:hAnsi="Times New Roman"/>
        </w:rPr>
        <w:t xml:space="preserve">by the unification of ethnically and culturally different people.  This paper </w:t>
      </w:r>
      <w:r w:rsidR="00BF2F01">
        <w:rPr>
          <w:rFonts w:ascii="Times New Roman" w:hAnsi="Times New Roman"/>
        </w:rPr>
        <w:t xml:space="preserve">identifies an allusion at </w:t>
      </w:r>
      <w:r w:rsidR="00D87026" w:rsidRPr="006362EA">
        <w:rPr>
          <w:rFonts w:ascii="Times New Roman" w:hAnsi="Times New Roman"/>
          <w:i/>
        </w:rPr>
        <w:t>Histo</w:t>
      </w:r>
      <w:bookmarkStart w:id="0" w:name="_GoBack"/>
      <w:bookmarkEnd w:id="0"/>
      <w:r w:rsidR="00D87026" w:rsidRPr="006362EA">
        <w:rPr>
          <w:rFonts w:ascii="Times New Roman" w:hAnsi="Times New Roman"/>
          <w:i/>
        </w:rPr>
        <w:t xml:space="preserve">ries </w:t>
      </w:r>
      <w:r w:rsidR="00D87026">
        <w:rPr>
          <w:rFonts w:ascii="Times New Roman" w:hAnsi="Times New Roman"/>
        </w:rPr>
        <w:t>2.37-38</w:t>
      </w:r>
      <w:r w:rsidR="00BF2F01">
        <w:rPr>
          <w:rFonts w:ascii="Times New Roman" w:hAnsi="Times New Roman"/>
        </w:rPr>
        <w:t xml:space="preserve"> to </w:t>
      </w:r>
      <w:r w:rsidR="00150D32" w:rsidRPr="007047AF">
        <w:rPr>
          <w:rFonts w:ascii="Times New Roman" w:hAnsi="Times New Roman"/>
          <w:i/>
        </w:rPr>
        <w:t xml:space="preserve">Bellum </w:t>
      </w:r>
      <w:proofErr w:type="spellStart"/>
      <w:r w:rsidR="00150D32" w:rsidRPr="007047AF">
        <w:rPr>
          <w:rFonts w:ascii="Times New Roman" w:hAnsi="Times New Roman"/>
          <w:i/>
        </w:rPr>
        <w:t>Catilinae</w:t>
      </w:r>
      <w:proofErr w:type="spellEnd"/>
      <w:r w:rsidR="00150D32" w:rsidRPr="007047AF">
        <w:rPr>
          <w:rFonts w:ascii="Times New Roman" w:hAnsi="Times New Roman"/>
          <w:i/>
        </w:rPr>
        <w:t xml:space="preserve"> </w:t>
      </w:r>
      <w:r w:rsidR="00150D32">
        <w:rPr>
          <w:rFonts w:ascii="Times New Roman" w:hAnsi="Times New Roman"/>
        </w:rPr>
        <w:t>6.1</w:t>
      </w:r>
      <w:r w:rsidR="0065145A">
        <w:rPr>
          <w:rFonts w:ascii="Times New Roman" w:hAnsi="Times New Roman"/>
        </w:rPr>
        <w:t>, which previously has not been discussed</w:t>
      </w:r>
      <w:r w:rsidR="00150D32">
        <w:rPr>
          <w:rFonts w:ascii="Times New Roman" w:hAnsi="Times New Roman"/>
        </w:rPr>
        <w:t xml:space="preserve"> </w:t>
      </w:r>
      <w:r w:rsidR="00BF2F01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argue</w:t>
      </w:r>
      <w:r w:rsidR="00BF2F01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that </w:t>
      </w:r>
      <w:r w:rsidR="00FE4CE6">
        <w:rPr>
          <w:rFonts w:ascii="Times New Roman" w:hAnsi="Times New Roman"/>
        </w:rPr>
        <w:t xml:space="preserve">the </w:t>
      </w:r>
      <w:r w:rsidR="00FE4CE6" w:rsidRPr="00FE4CE6">
        <w:rPr>
          <w:rFonts w:ascii="Times New Roman" w:hAnsi="Times New Roman"/>
          <w:i/>
        </w:rPr>
        <w:t>Historie</w:t>
      </w:r>
      <w:r w:rsidR="00FE4CE6">
        <w:rPr>
          <w:rFonts w:ascii="Times New Roman" w:hAnsi="Times New Roman"/>
          <w:i/>
        </w:rPr>
        <w:t>s</w:t>
      </w:r>
      <w:r w:rsidR="00FE4CE6">
        <w:rPr>
          <w:rFonts w:ascii="Times New Roman" w:hAnsi="Times New Roman"/>
        </w:rPr>
        <w:t xml:space="preserve"> </w:t>
      </w:r>
      <w:r w:rsidR="007047AF">
        <w:rPr>
          <w:rFonts w:ascii="Times New Roman" w:hAnsi="Times New Roman"/>
        </w:rPr>
        <w:t xml:space="preserve">raises </w:t>
      </w:r>
      <w:r w:rsidR="00150D32">
        <w:rPr>
          <w:rFonts w:ascii="Times New Roman" w:hAnsi="Times New Roman"/>
        </w:rPr>
        <w:t xml:space="preserve">the possibility </w:t>
      </w:r>
      <w:r w:rsidR="00FE4CE6">
        <w:rPr>
          <w:rFonts w:ascii="Times New Roman" w:hAnsi="Times New Roman"/>
        </w:rPr>
        <w:t xml:space="preserve">that </w:t>
      </w:r>
      <w:r w:rsidR="006362EA">
        <w:rPr>
          <w:rFonts w:ascii="Times New Roman" w:hAnsi="Times New Roman"/>
        </w:rPr>
        <w:t xml:space="preserve">peace and </w:t>
      </w:r>
      <w:r>
        <w:rPr>
          <w:rFonts w:ascii="Times New Roman" w:hAnsi="Times New Roman"/>
        </w:rPr>
        <w:t xml:space="preserve">stability in the Roman Empire </w:t>
      </w:r>
      <w:r w:rsidR="00150D32">
        <w:rPr>
          <w:rFonts w:ascii="Times New Roman" w:hAnsi="Times New Roman"/>
        </w:rPr>
        <w:t xml:space="preserve">could </w:t>
      </w:r>
      <w:r w:rsidR="007047AF">
        <w:rPr>
          <w:rFonts w:ascii="Times New Roman" w:hAnsi="Times New Roman"/>
        </w:rPr>
        <w:t xml:space="preserve">be </w:t>
      </w:r>
      <w:r w:rsidR="006362EA">
        <w:rPr>
          <w:rFonts w:ascii="Times New Roman" w:hAnsi="Times New Roman"/>
        </w:rPr>
        <w:t xml:space="preserve">attained </w:t>
      </w:r>
      <w:r>
        <w:rPr>
          <w:rFonts w:ascii="Times New Roman" w:hAnsi="Times New Roman"/>
        </w:rPr>
        <w:t xml:space="preserve">by incorporating </w:t>
      </w:r>
      <w:r w:rsidR="00FE4CE6">
        <w:rPr>
          <w:rFonts w:ascii="Times New Roman" w:hAnsi="Times New Roman"/>
        </w:rPr>
        <w:t xml:space="preserve">more fully into the state </w:t>
      </w:r>
      <w:r>
        <w:rPr>
          <w:rFonts w:ascii="Times New Roman" w:hAnsi="Times New Roman"/>
        </w:rPr>
        <w:t xml:space="preserve">the non-Roman soldiers and subjects who play a major role in the civil wars.  </w:t>
      </w:r>
    </w:p>
    <w:p w14:paraId="757C5A4E" w14:textId="66E735A8" w:rsidR="00EF5D00" w:rsidRDefault="007076F3" w:rsidP="007076F3">
      <w:pPr>
        <w:spacing w:before="240"/>
        <w:rPr>
          <w:rFonts w:ascii="Times New Roman" w:hAnsi="Times New Roman"/>
        </w:rPr>
      </w:pPr>
      <w:r w:rsidRPr="00074D34">
        <w:rPr>
          <w:rFonts w:ascii="Times New Roman" w:hAnsi="Times New Roman"/>
        </w:rPr>
        <w:t xml:space="preserve">Just before the first battle of </w:t>
      </w:r>
      <w:proofErr w:type="spellStart"/>
      <w:r w:rsidRPr="00074D34">
        <w:rPr>
          <w:rFonts w:ascii="Times New Roman" w:hAnsi="Times New Roman"/>
        </w:rPr>
        <w:t>Bedriacum</w:t>
      </w:r>
      <w:proofErr w:type="spellEnd"/>
      <w:r w:rsidRPr="00074D34">
        <w:rPr>
          <w:rFonts w:ascii="Times New Roman" w:hAnsi="Times New Roman"/>
        </w:rPr>
        <w:t xml:space="preserve">, the decisive contest that determines whether </w:t>
      </w:r>
      <w:proofErr w:type="spellStart"/>
      <w:r w:rsidRPr="00074D34">
        <w:rPr>
          <w:rFonts w:ascii="Times New Roman" w:hAnsi="Times New Roman"/>
        </w:rPr>
        <w:t>Otho</w:t>
      </w:r>
      <w:proofErr w:type="spellEnd"/>
      <w:r w:rsidRPr="00074D34">
        <w:rPr>
          <w:rFonts w:ascii="Times New Roman" w:hAnsi="Times New Roman"/>
        </w:rPr>
        <w:t xml:space="preserve"> will remain emperor or whether </w:t>
      </w:r>
      <w:proofErr w:type="spellStart"/>
      <w:r w:rsidRPr="00074D34">
        <w:rPr>
          <w:rFonts w:ascii="Times New Roman" w:hAnsi="Times New Roman"/>
        </w:rPr>
        <w:t>Vitellius</w:t>
      </w:r>
      <w:proofErr w:type="spellEnd"/>
      <w:r w:rsidRPr="00074D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 w:rsidRPr="00074D34">
        <w:rPr>
          <w:rFonts w:ascii="Times New Roman" w:hAnsi="Times New Roman"/>
        </w:rPr>
        <w:t xml:space="preserve">his German armies will </w:t>
      </w:r>
      <w:r>
        <w:rPr>
          <w:rFonts w:ascii="Times New Roman" w:hAnsi="Times New Roman"/>
        </w:rPr>
        <w:t xml:space="preserve">seize </w:t>
      </w:r>
      <w:r w:rsidRPr="00074D34">
        <w:rPr>
          <w:rFonts w:ascii="Times New Roman" w:hAnsi="Times New Roman"/>
        </w:rPr>
        <w:t xml:space="preserve">control of the Empire, Tacitus </w:t>
      </w:r>
      <w:r>
        <w:rPr>
          <w:rFonts w:ascii="Times New Roman" w:hAnsi="Times New Roman"/>
        </w:rPr>
        <w:t>briefly steps back</w:t>
      </w:r>
      <w:r w:rsidRPr="00074D34">
        <w:rPr>
          <w:rFonts w:ascii="Times New Roman" w:hAnsi="Times New Roman"/>
        </w:rPr>
        <w:t xml:space="preserve"> from the na</w:t>
      </w:r>
      <w:r>
        <w:rPr>
          <w:rFonts w:ascii="Times New Roman" w:hAnsi="Times New Roman"/>
        </w:rPr>
        <w:t xml:space="preserve">rrative of </w:t>
      </w:r>
      <w:r w:rsidR="000B1A6F">
        <w:rPr>
          <w:rFonts w:ascii="Times New Roman" w:hAnsi="Times New Roman"/>
        </w:rPr>
        <w:t xml:space="preserve">the </w:t>
      </w:r>
      <w:proofErr w:type="spellStart"/>
      <w:r w:rsidR="000B1A6F">
        <w:rPr>
          <w:rFonts w:ascii="Times New Roman" w:hAnsi="Times New Roman"/>
        </w:rPr>
        <w:t>Vitellian</w:t>
      </w:r>
      <w:proofErr w:type="spellEnd"/>
      <w:r w:rsidR="000B1A6F">
        <w:rPr>
          <w:rFonts w:ascii="Times New Roman" w:hAnsi="Times New Roman"/>
        </w:rPr>
        <w:t xml:space="preserve"> rebellion to relate</w:t>
      </w:r>
      <w:r>
        <w:rPr>
          <w:rFonts w:ascii="Times New Roman" w:hAnsi="Times New Roman"/>
        </w:rPr>
        <w:t xml:space="preserve"> a story that claims the two sides’ armies considered seeking a peaceful resolution to the question of who should be emperor.  </w:t>
      </w:r>
      <w:r w:rsidR="007B5FEF">
        <w:rPr>
          <w:rFonts w:ascii="Times New Roman" w:hAnsi="Times New Roman"/>
        </w:rPr>
        <w:t xml:space="preserve">Drawing on the work of Ash 2010 and </w:t>
      </w:r>
      <w:proofErr w:type="spellStart"/>
      <w:r w:rsidR="007B5FEF">
        <w:rPr>
          <w:rFonts w:ascii="Times New Roman" w:hAnsi="Times New Roman"/>
        </w:rPr>
        <w:t>Wiedemann</w:t>
      </w:r>
      <w:proofErr w:type="spellEnd"/>
      <w:r w:rsidR="007B5FEF">
        <w:rPr>
          <w:rFonts w:ascii="Times New Roman" w:hAnsi="Times New Roman"/>
        </w:rPr>
        <w:t xml:space="preserve"> 1993, </w:t>
      </w:r>
      <w:r>
        <w:rPr>
          <w:rFonts w:ascii="Times New Roman" w:hAnsi="Times New Roman"/>
        </w:rPr>
        <w:t xml:space="preserve">I first argue that </w:t>
      </w:r>
      <w:r w:rsidR="0012479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pause in the narrative at this climactic moment highlights the interpretive significance of the content of the digression.</w:t>
      </w:r>
      <w:r w:rsidR="009B1141">
        <w:rPr>
          <w:rFonts w:ascii="Times New Roman" w:hAnsi="Times New Roman"/>
        </w:rPr>
        <w:t xml:space="preserve">  </w:t>
      </w:r>
      <w:r w:rsidR="00E82E5C">
        <w:rPr>
          <w:rFonts w:ascii="Times New Roman" w:hAnsi="Times New Roman"/>
        </w:rPr>
        <w:t>T</w:t>
      </w:r>
      <w:r w:rsidR="009B1141">
        <w:rPr>
          <w:rFonts w:ascii="Times New Roman" w:hAnsi="Times New Roman"/>
        </w:rPr>
        <w:t xml:space="preserve">his observation </w:t>
      </w:r>
      <w:r w:rsidR="00E82E5C">
        <w:rPr>
          <w:rFonts w:ascii="Times New Roman" w:hAnsi="Times New Roman"/>
        </w:rPr>
        <w:t xml:space="preserve">establishes </w:t>
      </w:r>
      <w:r w:rsidR="009B1141">
        <w:rPr>
          <w:rFonts w:ascii="Times New Roman" w:hAnsi="Times New Roman"/>
        </w:rPr>
        <w:t xml:space="preserve">the basis </w:t>
      </w:r>
      <w:r w:rsidR="00FE4CE6">
        <w:rPr>
          <w:rFonts w:ascii="Times New Roman" w:hAnsi="Times New Roman"/>
        </w:rPr>
        <w:t xml:space="preserve">for </w:t>
      </w:r>
      <w:r w:rsidR="009B1141">
        <w:rPr>
          <w:rFonts w:ascii="Times New Roman" w:hAnsi="Times New Roman"/>
        </w:rPr>
        <w:t xml:space="preserve">making </w:t>
      </w:r>
      <w:r w:rsidR="00FE4CE6">
        <w:rPr>
          <w:rFonts w:ascii="Times New Roman" w:hAnsi="Times New Roman"/>
        </w:rPr>
        <w:t>a broader claim</w:t>
      </w:r>
      <w:r w:rsidR="009B1141">
        <w:rPr>
          <w:rFonts w:ascii="Times New Roman" w:hAnsi="Times New Roman"/>
        </w:rPr>
        <w:t xml:space="preserve"> about the </w:t>
      </w:r>
      <w:r w:rsidR="009B1141" w:rsidRPr="009B1141">
        <w:rPr>
          <w:rFonts w:ascii="Times New Roman" w:hAnsi="Times New Roman"/>
          <w:i/>
        </w:rPr>
        <w:t>Histories</w:t>
      </w:r>
      <w:r w:rsidR="00E82E5C">
        <w:rPr>
          <w:rFonts w:ascii="Times New Roman" w:hAnsi="Times New Roman"/>
          <w:i/>
        </w:rPr>
        <w:t xml:space="preserve"> </w:t>
      </w:r>
      <w:r w:rsidR="00E82E5C">
        <w:rPr>
          <w:rFonts w:ascii="Times New Roman" w:hAnsi="Times New Roman"/>
        </w:rPr>
        <w:t>from these two chapters</w:t>
      </w:r>
      <w:r w:rsidR="009B1141">
        <w:rPr>
          <w:rFonts w:ascii="Times New Roman" w:hAnsi="Times New Roman"/>
        </w:rPr>
        <w:t>.</w:t>
      </w:r>
      <w:r w:rsidR="007B5F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After citing </w:t>
      </w:r>
      <w:r w:rsidR="00FE4CE6">
        <w:rPr>
          <w:rFonts w:ascii="Times New Roman" w:hAnsi="Times New Roman"/>
        </w:rPr>
        <w:t xml:space="preserve">pieces of </w:t>
      </w:r>
      <w:r w:rsidR="00FE4CE6" w:rsidRPr="00DF7E93">
        <w:rPr>
          <w:rFonts w:ascii="Times New Roman" w:hAnsi="Times New Roman"/>
          <w:i/>
        </w:rPr>
        <w:t xml:space="preserve">Histories </w:t>
      </w:r>
      <w:r w:rsidR="00FE4CE6">
        <w:rPr>
          <w:rFonts w:ascii="Times New Roman" w:hAnsi="Times New Roman"/>
        </w:rPr>
        <w:t>2.37 and 2.38</w:t>
      </w:r>
      <w:r>
        <w:rPr>
          <w:rFonts w:ascii="Times New Roman" w:hAnsi="Times New Roman"/>
        </w:rPr>
        <w:t xml:space="preserve">, I point out </w:t>
      </w:r>
      <w:r w:rsidR="009B1141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 xml:space="preserve">well-known allusion to </w:t>
      </w:r>
      <w:r w:rsidRPr="00DF7E93">
        <w:rPr>
          <w:rFonts w:ascii="Times New Roman" w:hAnsi="Times New Roman"/>
          <w:i/>
        </w:rPr>
        <w:t xml:space="preserve">Bellum </w:t>
      </w:r>
      <w:proofErr w:type="spellStart"/>
      <w:r w:rsidRPr="00DF7E93">
        <w:rPr>
          <w:rFonts w:ascii="Times New Roman" w:hAnsi="Times New Roman"/>
          <w:i/>
        </w:rPr>
        <w:t>Catilinae</w:t>
      </w:r>
      <w:proofErr w:type="spellEnd"/>
      <w:r w:rsidRPr="00DF7E93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10.1 and cite the reading of the most recent commentary on </w:t>
      </w:r>
      <w:r w:rsidRPr="007047AF">
        <w:rPr>
          <w:rFonts w:ascii="Times New Roman" w:hAnsi="Times New Roman"/>
          <w:i/>
        </w:rPr>
        <w:t xml:space="preserve">Histories </w:t>
      </w:r>
      <w:r>
        <w:rPr>
          <w:rFonts w:ascii="Times New Roman" w:hAnsi="Times New Roman"/>
        </w:rPr>
        <w:t xml:space="preserve">2 </w:t>
      </w:r>
      <w:r w:rsidR="00E82E5C">
        <w:rPr>
          <w:rFonts w:ascii="Times New Roman" w:hAnsi="Times New Roman"/>
        </w:rPr>
        <w:t xml:space="preserve">which claims </w:t>
      </w:r>
      <w:r>
        <w:rPr>
          <w:rFonts w:ascii="Times New Roman" w:hAnsi="Times New Roman"/>
        </w:rPr>
        <w:t xml:space="preserve">this passage establishes a “dark </w:t>
      </w:r>
      <w:proofErr w:type="spellStart"/>
      <w:r>
        <w:rPr>
          <w:rFonts w:ascii="Times New Roman" w:hAnsi="Times New Roman"/>
        </w:rPr>
        <w:t>moralising</w:t>
      </w:r>
      <w:proofErr w:type="spellEnd"/>
      <w:r>
        <w:rPr>
          <w:rFonts w:ascii="Times New Roman" w:hAnsi="Times New Roman"/>
        </w:rPr>
        <w:t xml:space="preserve"> framework” (Ash (2007) 177) </w:t>
      </w:r>
      <w:r w:rsidR="009B1141">
        <w:rPr>
          <w:rFonts w:ascii="Times New Roman" w:hAnsi="Times New Roman"/>
        </w:rPr>
        <w:t xml:space="preserve">that </w:t>
      </w:r>
      <w:r w:rsidR="000B1A6F">
        <w:rPr>
          <w:rFonts w:ascii="Times New Roman" w:hAnsi="Times New Roman"/>
        </w:rPr>
        <w:t>places</w:t>
      </w:r>
      <w:r w:rsidR="00FE4C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power struggle of AD 69</w:t>
      </w:r>
      <w:r w:rsidR="009B1141">
        <w:rPr>
          <w:rFonts w:ascii="Times New Roman" w:hAnsi="Times New Roman"/>
        </w:rPr>
        <w:t xml:space="preserve"> within the history of civil war since the late Republic</w:t>
      </w:r>
      <w:r>
        <w:rPr>
          <w:rFonts w:ascii="Times New Roman" w:hAnsi="Times New Roman"/>
        </w:rPr>
        <w:t xml:space="preserve">.  </w:t>
      </w:r>
      <w:r w:rsidR="00FE4CE6">
        <w:rPr>
          <w:rFonts w:ascii="Times New Roman" w:hAnsi="Times New Roman"/>
        </w:rPr>
        <w:t>I then</w:t>
      </w:r>
      <w:r>
        <w:rPr>
          <w:rFonts w:ascii="Times New Roman" w:hAnsi="Times New Roman"/>
        </w:rPr>
        <w:t xml:space="preserve"> show that </w:t>
      </w:r>
      <w:r w:rsidR="00E82E5C">
        <w:rPr>
          <w:rFonts w:ascii="Times New Roman" w:hAnsi="Times New Roman"/>
        </w:rPr>
        <w:t xml:space="preserve">in addition </w:t>
      </w:r>
      <w:r w:rsidR="007047AF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contrary </w:t>
      </w:r>
      <w:r w:rsidR="007047AF">
        <w:rPr>
          <w:rFonts w:ascii="Times New Roman" w:hAnsi="Times New Roman"/>
        </w:rPr>
        <w:t xml:space="preserve">to </w:t>
      </w:r>
      <w:r w:rsidR="009B1141">
        <w:rPr>
          <w:rFonts w:ascii="Times New Roman" w:hAnsi="Times New Roman"/>
        </w:rPr>
        <w:t xml:space="preserve">this interpretation </w:t>
      </w:r>
      <w:r>
        <w:rPr>
          <w:rFonts w:ascii="Times New Roman" w:hAnsi="Times New Roman"/>
        </w:rPr>
        <w:t xml:space="preserve">a hopeful reading of Roman history is also present in this passage through another, </w:t>
      </w:r>
      <w:r w:rsidR="00BF2F01">
        <w:rPr>
          <w:rFonts w:ascii="Times New Roman" w:hAnsi="Times New Roman"/>
        </w:rPr>
        <w:t>heretofore</w:t>
      </w:r>
      <w:r>
        <w:rPr>
          <w:rFonts w:ascii="Times New Roman" w:hAnsi="Times New Roman"/>
        </w:rPr>
        <w:t xml:space="preserve"> </w:t>
      </w:r>
      <w:r w:rsidR="00BF2F01">
        <w:rPr>
          <w:rFonts w:ascii="Times New Roman" w:hAnsi="Times New Roman"/>
        </w:rPr>
        <w:t xml:space="preserve">unidentified </w:t>
      </w:r>
      <w:r>
        <w:rPr>
          <w:rFonts w:ascii="Times New Roman" w:hAnsi="Times New Roman"/>
        </w:rPr>
        <w:t xml:space="preserve">allusion to the </w:t>
      </w:r>
      <w:r w:rsidRPr="007076F3">
        <w:rPr>
          <w:rFonts w:ascii="Times New Roman" w:hAnsi="Times New Roman"/>
          <w:i/>
        </w:rPr>
        <w:t xml:space="preserve">Bellum </w:t>
      </w:r>
      <w:proofErr w:type="spellStart"/>
      <w:r w:rsidRPr="007076F3">
        <w:rPr>
          <w:rFonts w:ascii="Times New Roman" w:hAnsi="Times New Roman"/>
          <w:i/>
        </w:rPr>
        <w:t>Catilinae</w:t>
      </w:r>
      <w:proofErr w:type="spellEnd"/>
      <w:r w:rsidRPr="007076F3">
        <w:rPr>
          <w:rFonts w:ascii="Times New Roman" w:hAnsi="Times New Roman"/>
        </w:rPr>
        <w:t xml:space="preserve">, this time to </w:t>
      </w:r>
      <w:r w:rsidRPr="007047AF">
        <w:rPr>
          <w:rFonts w:ascii="Times New Roman" w:hAnsi="Times New Roman"/>
          <w:i/>
        </w:rPr>
        <w:t xml:space="preserve">BC </w:t>
      </w:r>
      <w:r w:rsidRPr="007076F3">
        <w:rPr>
          <w:rFonts w:ascii="Times New Roman" w:hAnsi="Times New Roman"/>
        </w:rPr>
        <w:t>6.1.</w:t>
      </w:r>
      <w:r>
        <w:rPr>
          <w:rFonts w:ascii="Times New Roman" w:hAnsi="Times New Roman"/>
        </w:rPr>
        <w:t xml:space="preserve">  Th</w:t>
      </w:r>
      <w:r w:rsidR="009B1141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passage notes </w:t>
      </w:r>
      <w:r w:rsidR="00DF7E93">
        <w:rPr>
          <w:rFonts w:ascii="Times New Roman" w:hAnsi="Times New Roman"/>
        </w:rPr>
        <w:t>with some astonishment (</w:t>
      </w:r>
      <w:proofErr w:type="spellStart"/>
      <w:r w:rsidR="00DF7E93" w:rsidRPr="00DF7E93">
        <w:rPr>
          <w:rFonts w:ascii="Times New Roman" w:hAnsi="Times New Roman"/>
          <w:i/>
        </w:rPr>
        <w:t>incredibile</w:t>
      </w:r>
      <w:proofErr w:type="spellEnd"/>
      <w:r w:rsidR="00DF7E93" w:rsidRPr="00DF7E93">
        <w:rPr>
          <w:rFonts w:ascii="Times New Roman" w:hAnsi="Times New Roman"/>
          <w:i/>
        </w:rPr>
        <w:t xml:space="preserve"> </w:t>
      </w:r>
      <w:proofErr w:type="spellStart"/>
      <w:r w:rsidR="00DF7E93" w:rsidRPr="00DF7E93">
        <w:rPr>
          <w:rFonts w:ascii="Times New Roman" w:hAnsi="Times New Roman"/>
          <w:i/>
        </w:rPr>
        <w:t>memoratu</w:t>
      </w:r>
      <w:proofErr w:type="spellEnd"/>
      <w:r w:rsidR="00DF7E9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that the origins of Rome supposedly lie with the </w:t>
      </w:r>
      <w:r w:rsidR="00333169">
        <w:rPr>
          <w:rFonts w:ascii="Times New Roman" w:hAnsi="Times New Roman"/>
        </w:rPr>
        <w:t xml:space="preserve">amicable </w:t>
      </w:r>
      <w:r>
        <w:rPr>
          <w:rFonts w:ascii="Times New Roman" w:hAnsi="Times New Roman"/>
        </w:rPr>
        <w:t xml:space="preserve">unification of the Trojans and native Italians.  </w:t>
      </w:r>
      <w:r w:rsidR="00E82E5C">
        <w:rPr>
          <w:rFonts w:ascii="Times New Roman" w:hAnsi="Times New Roman"/>
        </w:rPr>
        <w:t xml:space="preserve">By a careful examination of the passages </w:t>
      </w:r>
      <w:r>
        <w:rPr>
          <w:rFonts w:ascii="Times New Roman" w:hAnsi="Times New Roman"/>
        </w:rPr>
        <w:t xml:space="preserve">I will show that Tacitus </w:t>
      </w:r>
      <w:r w:rsidR="0098582B">
        <w:rPr>
          <w:rFonts w:ascii="Times New Roman" w:hAnsi="Times New Roman"/>
        </w:rPr>
        <w:t>directly and indirectly duplicates Sallust’s vocabulary and</w:t>
      </w:r>
      <w:r w:rsidR="000B1A6F">
        <w:rPr>
          <w:rFonts w:ascii="Times New Roman" w:hAnsi="Times New Roman"/>
        </w:rPr>
        <w:t xml:space="preserve"> </w:t>
      </w:r>
      <w:r w:rsidR="0098582B">
        <w:rPr>
          <w:rFonts w:ascii="Times New Roman" w:hAnsi="Times New Roman"/>
        </w:rPr>
        <w:t>employs a similar authorial position that distances the narrator from the ve</w:t>
      </w:r>
      <w:r w:rsidR="00EF5D00">
        <w:rPr>
          <w:rFonts w:ascii="Times New Roman" w:hAnsi="Times New Roman"/>
        </w:rPr>
        <w:t xml:space="preserve">racity of the stories </w:t>
      </w:r>
      <w:r w:rsidR="000B1A6F">
        <w:rPr>
          <w:rFonts w:ascii="Times New Roman" w:hAnsi="Times New Roman"/>
        </w:rPr>
        <w:t>presented</w:t>
      </w:r>
      <w:r w:rsidR="00EF5D00">
        <w:rPr>
          <w:rFonts w:ascii="Times New Roman" w:hAnsi="Times New Roman"/>
        </w:rPr>
        <w:t xml:space="preserve">.  In particular, Tacitus </w:t>
      </w:r>
      <w:r w:rsidR="00333169">
        <w:rPr>
          <w:rFonts w:ascii="Times New Roman" w:hAnsi="Times New Roman"/>
        </w:rPr>
        <w:t xml:space="preserve">alludes to Sallust when he </w:t>
      </w:r>
      <w:r w:rsidR="00EF5D00">
        <w:rPr>
          <w:rFonts w:ascii="Times New Roman" w:hAnsi="Times New Roman"/>
        </w:rPr>
        <w:t xml:space="preserve">writes that he doubts the ethnically and linguistically diverse </w:t>
      </w:r>
      <w:proofErr w:type="spellStart"/>
      <w:r w:rsidR="00EF5D00">
        <w:rPr>
          <w:rFonts w:ascii="Times New Roman" w:hAnsi="Times New Roman"/>
        </w:rPr>
        <w:t>Vitellians</w:t>
      </w:r>
      <w:proofErr w:type="spellEnd"/>
      <w:r w:rsidR="00EF5D00">
        <w:rPr>
          <w:rFonts w:ascii="Times New Roman" w:hAnsi="Times New Roman"/>
        </w:rPr>
        <w:t xml:space="preserve"> and </w:t>
      </w:r>
      <w:proofErr w:type="spellStart"/>
      <w:r w:rsidR="00EF5D00">
        <w:rPr>
          <w:rFonts w:ascii="Times New Roman" w:hAnsi="Times New Roman"/>
        </w:rPr>
        <w:t>Othonians</w:t>
      </w:r>
      <w:proofErr w:type="spellEnd"/>
      <w:r w:rsidR="00EF5D00">
        <w:rPr>
          <w:rFonts w:ascii="Times New Roman" w:hAnsi="Times New Roman"/>
        </w:rPr>
        <w:t xml:space="preserve"> could reach any kind of agreement: </w:t>
      </w:r>
    </w:p>
    <w:p w14:paraId="3EA149D0" w14:textId="77777777" w:rsidR="00EF5D00" w:rsidRDefault="00EF5D00" w:rsidP="007076F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 w:rsidR="0012479D">
        <w:rPr>
          <w:rFonts w:ascii="Times New Roman" w:hAnsi="Times New Roman"/>
        </w:rPr>
        <w:t>neque</w:t>
      </w:r>
      <w:proofErr w:type="spellEnd"/>
      <w:r>
        <w:rPr>
          <w:rFonts w:ascii="Times New Roman" w:hAnsi="Times New Roman"/>
        </w:rPr>
        <w:t>…</w:t>
      </w:r>
      <w:proofErr w:type="spellStart"/>
      <w:r>
        <w:rPr>
          <w:rFonts w:ascii="Times New Roman" w:hAnsi="Times New Roman"/>
        </w:rPr>
        <w:t>reor</w:t>
      </w:r>
      <w:proofErr w:type="spellEnd"/>
      <w:r>
        <w:rPr>
          <w:rFonts w:ascii="Times New Roman" w:hAnsi="Times New Roman"/>
        </w:rPr>
        <w:t>…</w:t>
      </w:r>
      <w:proofErr w:type="spellStart"/>
      <w:r w:rsidRPr="00A5262A">
        <w:rPr>
          <w:rFonts w:ascii="Times New Roman" w:hAnsi="Times New Roman"/>
        </w:rPr>
        <w:t>neque</w:t>
      </w:r>
      <w:proofErr w:type="spellEnd"/>
      <w:r w:rsidRPr="00A5262A">
        <w:rPr>
          <w:rFonts w:ascii="Times New Roman" w:hAnsi="Times New Roman"/>
        </w:rPr>
        <w:t xml:space="preserve"> </w:t>
      </w:r>
      <w:proofErr w:type="spellStart"/>
      <w:r w:rsidRPr="00A5262A">
        <w:rPr>
          <w:rFonts w:ascii="Times New Roman" w:hAnsi="Times New Roman"/>
        </w:rPr>
        <w:t>aut</w:t>
      </w:r>
      <w:proofErr w:type="spellEnd"/>
      <w:r w:rsidRPr="00A5262A">
        <w:rPr>
          <w:rFonts w:ascii="Times New Roman" w:hAnsi="Times New Roman"/>
        </w:rPr>
        <w:t xml:space="preserve"> </w:t>
      </w:r>
      <w:proofErr w:type="spellStart"/>
      <w:r w:rsidRPr="00A5262A">
        <w:rPr>
          <w:rFonts w:ascii="Times New Roman" w:hAnsi="Times New Roman"/>
        </w:rPr>
        <w:t>exercitus</w:t>
      </w:r>
      <w:proofErr w:type="spellEnd"/>
      <w:r w:rsidRPr="00A5262A">
        <w:rPr>
          <w:rFonts w:ascii="Times New Roman" w:hAnsi="Times New Roman"/>
        </w:rPr>
        <w:t xml:space="preserve"> </w:t>
      </w:r>
      <w:proofErr w:type="spellStart"/>
      <w:r w:rsidRPr="00A5262A">
        <w:rPr>
          <w:rFonts w:ascii="Times New Roman" w:hAnsi="Times New Roman"/>
        </w:rPr>
        <w:t>linguis</w:t>
      </w:r>
      <w:proofErr w:type="spellEnd"/>
      <w:r w:rsidRPr="00A5262A">
        <w:rPr>
          <w:rFonts w:ascii="Times New Roman" w:hAnsi="Times New Roman"/>
        </w:rPr>
        <w:t xml:space="preserve"> </w:t>
      </w:r>
      <w:proofErr w:type="spellStart"/>
      <w:r w:rsidRPr="00A5262A">
        <w:rPr>
          <w:rFonts w:ascii="Times New Roman" w:hAnsi="Times New Roman"/>
        </w:rPr>
        <w:t>moribusque</w:t>
      </w:r>
      <w:proofErr w:type="spellEnd"/>
      <w:r w:rsidRPr="00A5262A">
        <w:rPr>
          <w:rFonts w:ascii="Times New Roman" w:hAnsi="Times New Roman"/>
        </w:rPr>
        <w:t xml:space="preserve"> </w:t>
      </w:r>
      <w:proofErr w:type="spellStart"/>
      <w:r w:rsidRPr="00A5262A">
        <w:rPr>
          <w:rFonts w:ascii="Times New Roman" w:hAnsi="Times New Roman"/>
        </w:rPr>
        <w:t>dissonos</w:t>
      </w:r>
      <w:proofErr w:type="spellEnd"/>
      <w:r w:rsidRPr="00A5262A">
        <w:rPr>
          <w:rFonts w:ascii="Times New Roman" w:hAnsi="Times New Roman"/>
        </w:rPr>
        <w:t xml:space="preserve"> in </w:t>
      </w:r>
      <w:proofErr w:type="spellStart"/>
      <w:r w:rsidRPr="00A5262A">
        <w:rPr>
          <w:rFonts w:ascii="Times New Roman" w:hAnsi="Times New Roman"/>
        </w:rPr>
        <w:t>hunc</w:t>
      </w:r>
      <w:proofErr w:type="spellEnd"/>
      <w:r w:rsidRPr="00A5262A">
        <w:rPr>
          <w:rFonts w:ascii="Times New Roman" w:hAnsi="Times New Roman"/>
        </w:rPr>
        <w:t xml:space="preserve"> </w:t>
      </w:r>
      <w:proofErr w:type="spellStart"/>
      <w:r w:rsidRPr="00A5262A">
        <w:rPr>
          <w:rFonts w:ascii="Times New Roman" w:hAnsi="Times New Roman"/>
        </w:rPr>
        <w:t>consensum</w:t>
      </w:r>
      <w:proofErr w:type="spellEnd"/>
      <w:r w:rsidRPr="00A5262A">
        <w:rPr>
          <w:rFonts w:ascii="Times New Roman" w:hAnsi="Times New Roman"/>
        </w:rPr>
        <w:t xml:space="preserve"> </w:t>
      </w:r>
      <w:proofErr w:type="spellStart"/>
      <w:r w:rsidRPr="00A5262A">
        <w:rPr>
          <w:rFonts w:ascii="Times New Roman" w:hAnsi="Times New Roman"/>
        </w:rPr>
        <w:t>potuisse</w:t>
      </w:r>
      <w:proofErr w:type="spellEnd"/>
      <w:r w:rsidRPr="00A5262A">
        <w:rPr>
          <w:rFonts w:ascii="Times New Roman" w:hAnsi="Times New Roman"/>
        </w:rPr>
        <w:t xml:space="preserve"> </w:t>
      </w:r>
      <w:proofErr w:type="spellStart"/>
      <w:r w:rsidRPr="00A5262A">
        <w:rPr>
          <w:rFonts w:ascii="Times New Roman" w:hAnsi="Times New Roman"/>
        </w:rPr>
        <w:t>coalescere</w:t>
      </w:r>
      <w:proofErr w:type="spellEnd"/>
      <w:r>
        <w:rPr>
          <w:rFonts w:ascii="Times New Roman" w:hAnsi="Times New Roman"/>
        </w:rPr>
        <w:t>…</w:t>
      </w:r>
      <w:r w:rsidR="003714C4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 2.37.2</w:t>
      </w:r>
      <w:r w:rsidR="003714C4">
        <w:rPr>
          <w:rFonts w:ascii="Times New Roman" w:hAnsi="Times New Roman"/>
        </w:rPr>
        <w:t>)</w:t>
      </w:r>
    </w:p>
    <w:p w14:paraId="4C99848F" w14:textId="77777777" w:rsidR="00EF5D00" w:rsidRDefault="00EF5D00" w:rsidP="007076F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These lines draw directly </w:t>
      </w:r>
      <w:r w:rsidR="00D856DD">
        <w:rPr>
          <w:rFonts w:ascii="Times New Roman" w:hAnsi="Times New Roman"/>
        </w:rPr>
        <w:t xml:space="preserve">on </w:t>
      </w:r>
      <w:r w:rsidRPr="007047AF">
        <w:rPr>
          <w:rFonts w:ascii="Times New Roman" w:hAnsi="Times New Roman"/>
          <w:i/>
        </w:rPr>
        <w:t>BC</w:t>
      </w:r>
      <w:r>
        <w:rPr>
          <w:rFonts w:ascii="Times New Roman" w:hAnsi="Times New Roman"/>
        </w:rPr>
        <w:t xml:space="preserve"> 6.1:</w:t>
      </w:r>
    </w:p>
    <w:p w14:paraId="387F2D2E" w14:textId="77777777" w:rsidR="00EF5D00" w:rsidRDefault="00EF5D00" w:rsidP="007076F3">
      <w:pPr>
        <w:spacing w:before="240"/>
        <w:rPr>
          <w:rFonts w:ascii="Times New Roman" w:hAnsi="Times New Roman"/>
        </w:rPr>
      </w:pPr>
      <w:proofErr w:type="spellStart"/>
      <w:r w:rsidRPr="005C27C0">
        <w:rPr>
          <w:rFonts w:ascii="Times New Roman" w:hAnsi="Times New Roman" w:cs="Times New Roman"/>
        </w:rPr>
        <w:t>Urbem</w:t>
      </w:r>
      <w:proofErr w:type="spellEnd"/>
      <w:r w:rsidRPr="005C27C0">
        <w:rPr>
          <w:rFonts w:ascii="Times New Roman" w:hAnsi="Times New Roman" w:cs="Times New Roman"/>
        </w:rPr>
        <w:t xml:space="preserve"> </w:t>
      </w:r>
      <w:proofErr w:type="spellStart"/>
      <w:r w:rsidRPr="005C27C0">
        <w:rPr>
          <w:rFonts w:ascii="Times New Roman" w:hAnsi="Times New Roman" w:cs="Times New Roman"/>
        </w:rPr>
        <w:t>Romam</w:t>
      </w:r>
      <w:proofErr w:type="spellEnd"/>
      <w:r w:rsidRPr="005C27C0">
        <w:rPr>
          <w:rFonts w:ascii="Times New Roman" w:hAnsi="Times New Roman" w:cs="Times New Roman"/>
        </w:rPr>
        <w:t xml:space="preserve">, </w:t>
      </w:r>
      <w:proofErr w:type="spellStart"/>
      <w:r w:rsidRPr="005C27C0">
        <w:rPr>
          <w:rFonts w:ascii="Times New Roman" w:hAnsi="Times New Roman" w:cs="Times New Roman"/>
        </w:rPr>
        <w:t>sicuti</w:t>
      </w:r>
      <w:proofErr w:type="spellEnd"/>
      <w:r w:rsidRPr="005C27C0">
        <w:rPr>
          <w:rFonts w:ascii="Times New Roman" w:hAnsi="Times New Roman" w:cs="Times New Roman"/>
        </w:rPr>
        <w:t xml:space="preserve"> ego </w:t>
      </w:r>
      <w:proofErr w:type="spellStart"/>
      <w:r w:rsidRPr="00EF5D00">
        <w:rPr>
          <w:rFonts w:ascii="Times New Roman" w:hAnsi="Times New Roman" w:cs="Times New Roman"/>
        </w:rPr>
        <w:t>accepi</w:t>
      </w:r>
      <w:proofErr w:type="spellEnd"/>
      <w:r w:rsidRPr="005C27C0">
        <w:rPr>
          <w:rFonts w:ascii="Times New Roman" w:hAnsi="Times New Roman" w:cs="Times New Roman"/>
        </w:rPr>
        <w:t xml:space="preserve">, </w:t>
      </w:r>
      <w:proofErr w:type="spellStart"/>
      <w:r w:rsidRPr="005C27C0">
        <w:rPr>
          <w:rFonts w:ascii="Times New Roman" w:hAnsi="Times New Roman" w:cs="Times New Roman"/>
        </w:rPr>
        <w:t>condidere</w:t>
      </w:r>
      <w:proofErr w:type="spellEnd"/>
      <w:r w:rsidRPr="005C27C0">
        <w:rPr>
          <w:rFonts w:ascii="Times New Roman" w:hAnsi="Times New Roman" w:cs="Times New Roman"/>
        </w:rPr>
        <w:t xml:space="preserve"> </w:t>
      </w:r>
      <w:proofErr w:type="spellStart"/>
      <w:r w:rsidRPr="005C27C0">
        <w:rPr>
          <w:rFonts w:ascii="Times New Roman" w:hAnsi="Times New Roman" w:cs="Times New Roman"/>
        </w:rPr>
        <w:t>atque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C27C0">
        <w:rPr>
          <w:rFonts w:ascii="Times New Roman" w:hAnsi="Times New Roman" w:cs="Times New Roman"/>
        </w:rPr>
        <w:t>habuere</w:t>
      </w:r>
      <w:proofErr w:type="spellEnd"/>
      <w:r w:rsidRPr="005C27C0">
        <w:rPr>
          <w:rFonts w:ascii="Times New Roman" w:hAnsi="Times New Roman" w:cs="Times New Roman"/>
        </w:rPr>
        <w:t xml:space="preserve"> initio </w:t>
      </w:r>
      <w:proofErr w:type="spellStart"/>
      <w:r w:rsidRPr="005C27C0">
        <w:rPr>
          <w:rFonts w:ascii="Times New Roman" w:hAnsi="Times New Roman" w:cs="Times New Roman"/>
        </w:rPr>
        <w:t>Troiani</w:t>
      </w:r>
      <w:proofErr w:type="spellEnd"/>
      <w:r w:rsidRPr="005C27C0">
        <w:rPr>
          <w:rFonts w:ascii="Times New Roman" w:hAnsi="Times New Roman" w:cs="Times New Roman"/>
        </w:rPr>
        <w:t xml:space="preserve">, qui </w:t>
      </w:r>
      <w:proofErr w:type="spellStart"/>
      <w:r w:rsidRPr="005C27C0">
        <w:rPr>
          <w:rFonts w:ascii="Times New Roman" w:hAnsi="Times New Roman" w:cs="Times New Roman"/>
        </w:rPr>
        <w:t>Aenea</w:t>
      </w:r>
      <w:proofErr w:type="spellEnd"/>
      <w:r w:rsidRPr="005C27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duce </w:t>
      </w:r>
      <w:proofErr w:type="spellStart"/>
      <w:r>
        <w:rPr>
          <w:rFonts w:ascii="Times New Roman" w:hAnsi="Times New Roman" w:cs="Times New Roman"/>
        </w:rPr>
        <w:t>profugi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sedibus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5C27C0">
        <w:rPr>
          <w:rFonts w:ascii="Times New Roman" w:hAnsi="Times New Roman" w:cs="Times New Roman"/>
        </w:rPr>
        <w:t>incertis</w:t>
      </w:r>
      <w:proofErr w:type="spellEnd"/>
      <w:r w:rsidRPr="005C27C0">
        <w:rPr>
          <w:rFonts w:ascii="Times New Roman" w:hAnsi="Times New Roman" w:cs="Times New Roman"/>
        </w:rPr>
        <w:t xml:space="preserve"> </w:t>
      </w:r>
      <w:proofErr w:type="spellStart"/>
      <w:r w:rsidRPr="005C27C0">
        <w:rPr>
          <w:rFonts w:ascii="Times New Roman" w:hAnsi="Times New Roman" w:cs="Times New Roman"/>
        </w:rPr>
        <w:t>vagabantur</w:t>
      </w:r>
      <w:proofErr w:type="spellEnd"/>
      <w:r w:rsidRPr="005C27C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et cum his Aborigines…</w:t>
      </w:r>
      <w:r w:rsidRPr="005C27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D60156">
        <w:rPr>
          <w:rFonts w:ascii="Times New Roman" w:hAnsi="Times New Roman" w:cs="Times New Roman"/>
        </w:rPr>
        <w:t xml:space="preserve">hi </w:t>
      </w:r>
      <w:proofErr w:type="spellStart"/>
      <w:r w:rsidRPr="00D60156">
        <w:rPr>
          <w:rFonts w:ascii="Times New Roman" w:hAnsi="Times New Roman" w:cs="Times New Roman"/>
        </w:rPr>
        <w:t>postquam</w:t>
      </w:r>
      <w:proofErr w:type="spellEnd"/>
      <w:r w:rsidRPr="00D60156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n </w:t>
      </w:r>
      <w:proofErr w:type="spellStart"/>
      <w:r>
        <w:rPr>
          <w:rFonts w:ascii="Times New Roman" w:hAnsi="Times New Roman" w:cs="Times New Roman"/>
        </w:rPr>
        <w:t>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moenia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convenere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dispari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60156">
        <w:rPr>
          <w:rFonts w:ascii="Times New Roman" w:hAnsi="Times New Roman" w:cs="Times New Roman"/>
        </w:rPr>
        <w:t>genere</w:t>
      </w:r>
      <w:proofErr w:type="spellEnd"/>
      <w:r w:rsidRPr="00D60156">
        <w:rPr>
          <w:rFonts w:ascii="Times New Roman" w:hAnsi="Times New Roman" w:cs="Times New Roman"/>
        </w:rPr>
        <w:t xml:space="preserve">, </w:t>
      </w:r>
      <w:proofErr w:type="spellStart"/>
      <w:r w:rsidRPr="00D60156">
        <w:rPr>
          <w:rFonts w:ascii="Times New Roman" w:hAnsi="Times New Roman" w:cs="Times New Roman"/>
        </w:rPr>
        <w:t>dissimili</w:t>
      </w:r>
      <w:proofErr w:type="spellEnd"/>
      <w:r w:rsidRPr="00D60156">
        <w:rPr>
          <w:rFonts w:ascii="Times New Roman" w:hAnsi="Times New Roman" w:cs="Times New Roman"/>
        </w:rPr>
        <w:t xml:space="preserve"> lingua, </w:t>
      </w:r>
      <w:proofErr w:type="spellStart"/>
      <w:r>
        <w:rPr>
          <w:rFonts w:ascii="Times New Roman" w:hAnsi="Times New Roman" w:cs="Times New Roman"/>
        </w:rPr>
        <w:t>alius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alio</w:t>
      </w:r>
      <w:proofErr w:type="spellEnd"/>
      <w:r>
        <w:rPr>
          <w:rFonts w:ascii="Times New Roman" w:hAnsi="Times New Roman" w:cs="Times New Roman"/>
        </w:rPr>
        <w:t xml:space="preserve"> more </w:t>
      </w:r>
      <w:proofErr w:type="spellStart"/>
      <w:r>
        <w:rPr>
          <w:rFonts w:ascii="Times New Roman" w:hAnsi="Times New Roman" w:cs="Times New Roman"/>
        </w:rPr>
        <w:t>viventes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incre</w:t>
      </w:r>
      <w:r w:rsidRPr="00D60156">
        <w:rPr>
          <w:rFonts w:ascii="Times New Roman" w:hAnsi="Times New Roman" w:cs="Times New Roman"/>
        </w:rPr>
        <w:t>dibile</w:t>
      </w:r>
      <w:proofErr w:type="spellEnd"/>
      <w:r w:rsidRPr="00D60156">
        <w:rPr>
          <w:rFonts w:ascii="Times New Roman" w:hAnsi="Times New Roman" w:cs="Times New Roman"/>
        </w:rPr>
        <w:t xml:space="preserve"> </w:t>
      </w:r>
      <w:proofErr w:type="spellStart"/>
      <w:r w:rsidRPr="00D60156">
        <w:rPr>
          <w:rFonts w:ascii="Times New Roman" w:hAnsi="Times New Roman" w:cs="Times New Roman"/>
        </w:rPr>
        <w:t>memoratu</w:t>
      </w:r>
      <w:proofErr w:type="spellEnd"/>
      <w:r w:rsidRPr="00D60156">
        <w:rPr>
          <w:rFonts w:ascii="Times New Roman" w:hAnsi="Times New Roman" w:cs="Times New Roman"/>
        </w:rPr>
        <w:t xml:space="preserve"> </w:t>
      </w:r>
      <w:proofErr w:type="spellStart"/>
      <w:r w:rsidRPr="00D60156">
        <w:rPr>
          <w:rFonts w:ascii="Times New Roman" w:hAnsi="Times New Roman" w:cs="Times New Roman"/>
        </w:rPr>
        <w:t>est</w:t>
      </w:r>
      <w:proofErr w:type="spellEnd"/>
      <w:r w:rsidRPr="00D60156">
        <w:rPr>
          <w:rFonts w:ascii="Times New Roman" w:hAnsi="Times New Roman" w:cs="Times New Roman"/>
        </w:rPr>
        <w:t xml:space="preserve"> quam facile </w:t>
      </w:r>
      <w:proofErr w:type="spellStart"/>
      <w:r w:rsidRPr="00D60156">
        <w:rPr>
          <w:rFonts w:ascii="Times New Roman" w:hAnsi="Times New Roman" w:cs="Times New Roman"/>
        </w:rPr>
        <w:t>coaluerint</w:t>
      </w:r>
      <w:proofErr w:type="spellEnd"/>
      <w:r>
        <w:rPr>
          <w:rFonts w:ascii="Times New Roman" w:hAnsi="Times New Roman" w:cs="Times New Roman"/>
        </w:rPr>
        <w:t>.</w:t>
      </w:r>
    </w:p>
    <w:p w14:paraId="01F4FF47" w14:textId="77777777" w:rsidR="007076F3" w:rsidRDefault="00EF5D00" w:rsidP="007076F3">
      <w:pPr>
        <w:spacing w:befor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close reading of the passages shows </w:t>
      </w:r>
      <w:r w:rsidR="00AB483E">
        <w:rPr>
          <w:rFonts w:ascii="Times New Roman" w:hAnsi="Times New Roman"/>
        </w:rPr>
        <w:t xml:space="preserve">among other things </w:t>
      </w:r>
      <w:r>
        <w:rPr>
          <w:rFonts w:ascii="Times New Roman" w:hAnsi="Times New Roman"/>
        </w:rPr>
        <w:t xml:space="preserve">that Tacitus’ </w:t>
      </w:r>
      <w:proofErr w:type="spellStart"/>
      <w:r w:rsidRPr="00AB483E">
        <w:rPr>
          <w:rFonts w:ascii="Times New Roman" w:hAnsi="Times New Roman"/>
          <w:i/>
        </w:rPr>
        <w:t>linguis</w:t>
      </w:r>
      <w:proofErr w:type="spellEnd"/>
      <w:r w:rsidRPr="00AB483E">
        <w:rPr>
          <w:rFonts w:ascii="Times New Roman" w:hAnsi="Times New Roman"/>
          <w:i/>
        </w:rPr>
        <w:t xml:space="preserve"> </w:t>
      </w:r>
      <w:proofErr w:type="spellStart"/>
      <w:r w:rsidRPr="00AB483E">
        <w:rPr>
          <w:rFonts w:ascii="Times New Roman" w:hAnsi="Times New Roman"/>
          <w:i/>
        </w:rPr>
        <w:t>moribusque</w:t>
      </w:r>
      <w:proofErr w:type="spellEnd"/>
      <w:r w:rsidRPr="00AB483E">
        <w:rPr>
          <w:rFonts w:ascii="Times New Roman" w:hAnsi="Times New Roman"/>
          <w:i/>
        </w:rPr>
        <w:t xml:space="preserve"> </w:t>
      </w:r>
      <w:proofErr w:type="spellStart"/>
      <w:r w:rsidRPr="00AB483E">
        <w:rPr>
          <w:rFonts w:ascii="Times New Roman" w:hAnsi="Times New Roman"/>
          <w:i/>
        </w:rPr>
        <w:t>dissonos</w:t>
      </w:r>
      <w:proofErr w:type="spellEnd"/>
      <w:r w:rsidRPr="00AB483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echoes Sallust’s </w:t>
      </w:r>
      <w:proofErr w:type="spellStart"/>
      <w:r w:rsidRPr="00AB483E">
        <w:rPr>
          <w:rFonts w:ascii="Times New Roman" w:hAnsi="Times New Roman"/>
          <w:i/>
        </w:rPr>
        <w:t>dispari</w:t>
      </w:r>
      <w:proofErr w:type="spellEnd"/>
      <w:r w:rsidRPr="00AB483E">
        <w:rPr>
          <w:rFonts w:ascii="Times New Roman" w:hAnsi="Times New Roman"/>
          <w:i/>
        </w:rPr>
        <w:t xml:space="preserve"> </w:t>
      </w:r>
      <w:proofErr w:type="spellStart"/>
      <w:r w:rsidRPr="00AB483E">
        <w:rPr>
          <w:rFonts w:ascii="Times New Roman" w:hAnsi="Times New Roman"/>
          <w:i/>
        </w:rPr>
        <w:t>genere</w:t>
      </w:r>
      <w:proofErr w:type="spellEnd"/>
      <w:r w:rsidRPr="00AB483E">
        <w:rPr>
          <w:rFonts w:ascii="Times New Roman" w:hAnsi="Times New Roman"/>
          <w:i/>
        </w:rPr>
        <w:t xml:space="preserve">, </w:t>
      </w:r>
      <w:proofErr w:type="spellStart"/>
      <w:r w:rsidRPr="00AB483E">
        <w:rPr>
          <w:rFonts w:ascii="Times New Roman" w:hAnsi="Times New Roman"/>
          <w:i/>
        </w:rPr>
        <w:t>dissimili</w:t>
      </w:r>
      <w:proofErr w:type="spellEnd"/>
      <w:r w:rsidRPr="00AB483E">
        <w:rPr>
          <w:rFonts w:ascii="Times New Roman" w:hAnsi="Times New Roman"/>
          <w:i/>
        </w:rPr>
        <w:t xml:space="preserve"> lingua, </w:t>
      </w:r>
      <w:proofErr w:type="spellStart"/>
      <w:r w:rsidRPr="00AB483E">
        <w:rPr>
          <w:rFonts w:ascii="Times New Roman" w:hAnsi="Times New Roman"/>
          <w:i/>
        </w:rPr>
        <w:t>alius</w:t>
      </w:r>
      <w:proofErr w:type="spellEnd"/>
      <w:r w:rsidRPr="00AB483E">
        <w:rPr>
          <w:rFonts w:ascii="Times New Roman" w:hAnsi="Times New Roman"/>
          <w:i/>
        </w:rPr>
        <w:t xml:space="preserve"> </w:t>
      </w:r>
      <w:proofErr w:type="spellStart"/>
      <w:r w:rsidRPr="00AB483E">
        <w:rPr>
          <w:rFonts w:ascii="Times New Roman" w:hAnsi="Times New Roman"/>
          <w:i/>
        </w:rPr>
        <w:t>alio</w:t>
      </w:r>
      <w:proofErr w:type="spellEnd"/>
      <w:r w:rsidRPr="00AB483E">
        <w:rPr>
          <w:rFonts w:ascii="Times New Roman" w:hAnsi="Times New Roman"/>
          <w:i/>
        </w:rPr>
        <w:t xml:space="preserve"> more </w:t>
      </w:r>
      <w:proofErr w:type="spellStart"/>
      <w:r w:rsidRPr="00AB483E">
        <w:rPr>
          <w:rFonts w:ascii="Times New Roman" w:hAnsi="Times New Roman"/>
          <w:i/>
        </w:rPr>
        <w:t>viventes</w:t>
      </w:r>
      <w:proofErr w:type="spellEnd"/>
      <w:r w:rsidRPr="00AB483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(with </w:t>
      </w:r>
      <w:proofErr w:type="spellStart"/>
      <w:r w:rsidRPr="00AB483E">
        <w:rPr>
          <w:rFonts w:ascii="Times New Roman" w:hAnsi="Times New Roman"/>
          <w:i/>
        </w:rPr>
        <w:t>dissonos</w:t>
      </w:r>
      <w:proofErr w:type="spellEnd"/>
      <w:r w:rsidRPr="00AB483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replicating the sound and meaning of </w:t>
      </w:r>
      <w:proofErr w:type="spellStart"/>
      <w:r w:rsidRPr="00AB483E">
        <w:rPr>
          <w:rFonts w:ascii="Times New Roman" w:hAnsi="Times New Roman"/>
          <w:i/>
        </w:rPr>
        <w:t>dissimili</w:t>
      </w:r>
      <w:proofErr w:type="spellEnd"/>
      <w:r w:rsidRPr="00AB483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without repeating the same word) and </w:t>
      </w:r>
      <w:r w:rsidR="00AB483E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a form of </w:t>
      </w:r>
      <w:proofErr w:type="spellStart"/>
      <w:r w:rsidRPr="00AB483E">
        <w:rPr>
          <w:rFonts w:ascii="Times New Roman" w:hAnsi="Times New Roman"/>
          <w:i/>
        </w:rPr>
        <w:t>coalescere</w:t>
      </w:r>
      <w:proofErr w:type="spellEnd"/>
      <w:r w:rsidRPr="00AB483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is present</w:t>
      </w:r>
      <w:r w:rsidR="003714C4">
        <w:rPr>
          <w:rFonts w:ascii="Times New Roman" w:hAnsi="Times New Roman"/>
        </w:rPr>
        <w:t xml:space="preserve"> in both passages</w:t>
      </w:r>
      <w:r w:rsidR="00D856DD">
        <w:rPr>
          <w:rFonts w:ascii="Times New Roman" w:hAnsi="Times New Roman"/>
        </w:rPr>
        <w:t xml:space="preserve">.  </w:t>
      </w:r>
      <w:r w:rsidR="007047AF">
        <w:rPr>
          <w:rFonts w:ascii="Times New Roman" w:hAnsi="Times New Roman"/>
        </w:rPr>
        <w:t xml:space="preserve">Thus, </w:t>
      </w:r>
      <w:r w:rsidR="00333169">
        <w:rPr>
          <w:rFonts w:ascii="Times New Roman" w:hAnsi="Times New Roman"/>
        </w:rPr>
        <w:t>the allusion</w:t>
      </w:r>
      <w:r w:rsidR="007047AF">
        <w:rPr>
          <w:rFonts w:ascii="Times New Roman" w:hAnsi="Times New Roman"/>
        </w:rPr>
        <w:t>,</w:t>
      </w:r>
      <w:r w:rsidR="00333169">
        <w:rPr>
          <w:rFonts w:ascii="Times New Roman" w:hAnsi="Times New Roman"/>
        </w:rPr>
        <w:t xml:space="preserve"> which suggests concord between massively different peoples is possible, offers a message opposite to the explicitly expressed opinion in these lines.</w:t>
      </w:r>
      <w:r w:rsidR="003714C4">
        <w:rPr>
          <w:rFonts w:ascii="Times New Roman" w:hAnsi="Times New Roman"/>
        </w:rPr>
        <w:t xml:space="preserve">  </w:t>
      </w:r>
      <w:r w:rsidR="0012479D">
        <w:rPr>
          <w:rFonts w:ascii="Times New Roman" w:hAnsi="Times New Roman"/>
        </w:rPr>
        <w:t>T</w:t>
      </w:r>
      <w:r w:rsidR="0098582B">
        <w:rPr>
          <w:rFonts w:ascii="Times New Roman" w:hAnsi="Times New Roman"/>
        </w:rPr>
        <w:t xml:space="preserve">he conclusion of the paper </w:t>
      </w:r>
      <w:r w:rsidR="00FE4CE6">
        <w:rPr>
          <w:rFonts w:ascii="Times New Roman" w:hAnsi="Times New Roman"/>
        </w:rPr>
        <w:t xml:space="preserve">draws </w:t>
      </w:r>
      <w:r w:rsidR="0098582B">
        <w:rPr>
          <w:rFonts w:ascii="Times New Roman" w:hAnsi="Times New Roman"/>
        </w:rPr>
        <w:t xml:space="preserve">out the wider implications of this </w:t>
      </w:r>
      <w:r w:rsidR="0098582B">
        <w:rPr>
          <w:rFonts w:ascii="Times New Roman" w:hAnsi="Times New Roman"/>
        </w:rPr>
        <w:lastRenderedPageBreak/>
        <w:t xml:space="preserve">allusion to argue that </w:t>
      </w:r>
      <w:r w:rsidR="00A86CA3">
        <w:rPr>
          <w:rFonts w:ascii="Times New Roman" w:hAnsi="Times New Roman"/>
        </w:rPr>
        <w:t xml:space="preserve">the </w:t>
      </w:r>
      <w:r w:rsidR="00A86CA3" w:rsidRPr="00A86CA3">
        <w:rPr>
          <w:rFonts w:ascii="Times New Roman" w:hAnsi="Times New Roman"/>
          <w:i/>
        </w:rPr>
        <w:t>Histories</w:t>
      </w:r>
      <w:r w:rsidR="00A86CA3">
        <w:rPr>
          <w:rFonts w:ascii="Times New Roman" w:hAnsi="Times New Roman"/>
        </w:rPr>
        <w:t xml:space="preserve"> </w:t>
      </w:r>
      <w:r w:rsidR="00333169">
        <w:rPr>
          <w:rFonts w:ascii="Times New Roman" w:hAnsi="Times New Roman"/>
        </w:rPr>
        <w:t xml:space="preserve">is pointing to </w:t>
      </w:r>
      <w:r w:rsidR="0098582B">
        <w:rPr>
          <w:rFonts w:ascii="Times New Roman" w:hAnsi="Times New Roman"/>
        </w:rPr>
        <w:t>a model for an internally peaceful and stable Roman state</w:t>
      </w:r>
      <w:r w:rsidR="0012479D">
        <w:rPr>
          <w:rFonts w:ascii="Times New Roman" w:hAnsi="Times New Roman"/>
        </w:rPr>
        <w:t>, one that</w:t>
      </w:r>
      <w:r w:rsidR="0098582B">
        <w:rPr>
          <w:rFonts w:ascii="Times New Roman" w:hAnsi="Times New Roman"/>
        </w:rPr>
        <w:t xml:space="preserve"> </w:t>
      </w:r>
      <w:r w:rsidR="003714C4">
        <w:rPr>
          <w:rFonts w:ascii="Times New Roman" w:hAnsi="Times New Roman"/>
        </w:rPr>
        <w:t xml:space="preserve">specifically </w:t>
      </w:r>
      <w:r w:rsidR="0098582B">
        <w:rPr>
          <w:rFonts w:ascii="Times New Roman" w:hAnsi="Times New Roman"/>
        </w:rPr>
        <w:t xml:space="preserve">requires creating a new order through a broad incorporation of ethnically different </w:t>
      </w:r>
      <w:r w:rsidR="003714C4">
        <w:rPr>
          <w:rFonts w:ascii="Times New Roman" w:hAnsi="Times New Roman"/>
        </w:rPr>
        <w:t xml:space="preserve"> (</w:t>
      </w:r>
      <w:proofErr w:type="spellStart"/>
      <w:r w:rsidR="003714C4" w:rsidRPr="00A86CA3">
        <w:rPr>
          <w:rFonts w:ascii="Times New Roman" w:hAnsi="Times New Roman"/>
          <w:i/>
        </w:rPr>
        <w:t>linguis</w:t>
      </w:r>
      <w:proofErr w:type="spellEnd"/>
      <w:r w:rsidR="003714C4" w:rsidRPr="00A86CA3">
        <w:rPr>
          <w:rFonts w:ascii="Times New Roman" w:hAnsi="Times New Roman"/>
          <w:i/>
        </w:rPr>
        <w:t xml:space="preserve"> </w:t>
      </w:r>
      <w:proofErr w:type="spellStart"/>
      <w:r w:rsidR="003714C4" w:rsidRPr="00A86CA3">
        <w:rPr>
          <w:rFonts w:ascii="Times New Roman" w:hAnsi="Times New Roman"/>
          <w:i/>
        </w:rPr>
        <w:t>moribusque</w:t>
      </w:r>
      <w:proofErr w:type="spellEnd"/>
      <w:r w:rsidR="003714C4" w:rsidRPr="00A86CA3">
        <w:rPr>
          <w:rFonts w:ascii="Times New Roman" w:hAnsi="Times New Roman"/>
          <w:i/>
        </w:rPr>
        <w:t xml:space="preserve"> </w:t>
      </w:r>
      <w:proofErr w:type="spellStart"/>
      <w:r w:rsidR="003714C4" w:rsidRPr="00A86CA3">
        <w:rPr>
          <w:rFonts w:ascii="Times New Roman" w:hAnsi="Times New Roman"/>
          <w:i/>
        </w:rPr>
        <w:t>dissoni</w:t>
      </w:r>
      <w:proofErr w:type="spellEnd"/>
      <w:r w:rsidR="003714C4">
        <w:rPr>
          <w:rFonts w:ascii="Times New Roman" w:hAnsi="Times New Roman"/>
        </w:rPr>
        <w:t xml:space="preserve">) </w:t>
      </w:r>
      <w:r w:rsidR="0098582B">
        <w:rPr>
          <w:rFonts w:ascii="Times New Roman" w:hAnsi="Times New Roman"/>
        </w:rPr>
        <w:t>people.</w:t>
      </w:r>
    </w:p>
    <w:p w14:paraId="2EF1F7CC" w14:textId="77777777" w:rsidR="007076F3" w:rsidRDefault="007076F3" w:rsidP="007076F3">
      <w:pPr>
        <w:rPr>
          <w:rFonts w:ascii="Times New Roman" w:hAnsi="Times New Roman"/>
        </w:rPr>
      </w:pPr>
    </w:p>
    <w:p w14:paraId="13BC1F03" w14:textId="68EC5196" w:rsidR="007076F3" w:rsidRDefault="000034E1">
      <w:pPr>
        <w:rPr>
          <w:rFonts w:ascii="Times New Roman" w:hAnsi="Times New Roman"/>
        </w:rPr>
      </w:pPr>
      <w:r w:rsidRPr="000034E1">
        <w:rPr>
          <w:rFonts w:ascii="Times New Roman" w:hAnsi="Times New Roman"/>
        </w:rPr>
        <w:t>Bibliography</w:t>
      </w:r>
    </w:p>
    <w:p w14:paraId="4996AEE4" w14:textId="77777777" w:rsidR="00ED7F0F" w:rsidRDefault="00ED7F0F">
      <w:pPr>
        <w:rPr>
          <w:rFonts w:ascii="Times New Roman" w:hAnsi="Times New Roman"/>
        </w:rPr>
      </w:pPr>
    </w:p>
    <w:p w14:paraId="4D02C394" w14:textId="5D72FFEF" w:rsidR="000034E1" w:rsidRDefault="00602DE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Ash, R.  (2007) </w:t>
      </w:r>
      <w:r w:rsidRPr="00602DED">
        <w:rPr>
          <w:rFonts w:ascii="Times New Roman" w:hAnsi="Times New Roman"/>
          <w:i/>
        </w:rPr>
        <w:t>Tacitus: Histories Book II</w:t>
      </w:r>
      <w:r>
        <w:rPr>
          <w:rFonts w:ascii="Times New Roman" w:hAnsi="Times New Roman"/>
        </w:rPr>
        <w:t>.</w:t>
      </w:r>
    </w:p>
    <w:p w14:paraId="34C0435C" w14:textId="77777777" w:rsidR="00ED7F0F" w:rsidRDefault="00ED7F0F" w:rsidP="00ED7F0F">
      <w:pPr>
        <w:ind w:left="720" w:hanging="720"/>
        <w:rPr>
          <w:rFonts w:ascii="Times New Roman" w:hAnsi="Times New Roman"/>
        </w:rPr>
      </w:pPr>
    </w:p>
    <w:p w14:paraId="2C1C86FA" w14:textId="661EE07B" w:rsidR="00602DED" w:rsidRPr="00602DED" w:rsidRDefault="00602DED" w:rsidP="00ED7F0F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---------</w:t>
      </w:r>
      <w:r>
        <w:rPr>
          <w:rFonts w:ascii="Times New Roman" w:hAnsi="Times New Roman"/>
        </w:rPr>
        <w:tab/>
        <w:t xml:space="preserve"> (20</w:t>
      </w:r>
      <w:r w:rsidR="00ED7F0F">
        <w:rPr>
          <w:rFonts w:ascii="Times New Roman" w:hAnsi="Times New Roman"/>
        </w:rPr>
        <w:t>10) “</w:t>
      </w:r>
      <w:proofErr w:type="spellStart"/>
      <w:r w:rsidR="00ED7F0F">
        <w:rPr>
          <w:rFonts w:ascii="Times New Roman" w:hAnsi="Times New Roman"/>
        </w:rPr>
        <w:t>Tarda</w:t>
      </w:r>
      <w:proofErr w:type="spellEnd"/>
      <w:r w:rsidR="00ED7F0F">
        <w:rPr>
          <w:rFonts w:ascii="Times New Roman" w:hAnsi="Times New Roman"/>
        </w:rPr>
        <w:t xml:space="preserve"> Moles </w:t>
      </w:r>
      <w:proofErr w:type="spellStart"/>
      <w:r w:rsidR="00ED7F0F">
        <w:rPr>
          <w:rFonts w:ascii="Times New Roman" w:hAnsi="Times New Roman"/>
        </w:rPr>
        <w:t>Civilis</w:t>
      </w:r>
      <w:proofErr w:type="spellEnd"/>
      <w:r w:rsidR="00ED7F0F">
        <w:rPr>
          <w:rFonts w:ascii="Times New Roman" w:hAnsi="Times New Roman"/>
        </w:rPr>
        <w:t xml:space="preserve"> Belli: The Weight of the Past in Tacitus’ Histories” in Breed, Damon, and Rossi, </w:t>
      </w:r>
      <w:r w:rsidR="00ED7F0F" w:rsidRPr="00ED7F0F">
        <w:rPr>
          <w:rFonts w:ascii="Times New Roman" w:hAnsi="Times New Roman"/>
          <w:i/>
        </w:rPr>
        <w:t>Citizens of Discord</w:t>
      </w:r>
      <w:r w:rsidR="00ED7F0F">
        <w:rPr>
          <w:rFonts w:ascii="Times New Roman" w:hAnsi="Times New Roman"/>
        </w:rPr>
        <w:t>.</w:t>
      </w:r>
    </w:p>
    <w:p w14:paraId="4EE4F4CA" w14:textId="77777777" w:rsidR="00ED7F0F" w:rsidRDefault="00ED7F0F">
      <w:pPr>
        <w:rPr>
          <w:rFonts w:ascii="Times New Roman" w:hAnsi="Times New Roman"/>
        </w:rPr>
      </w:pPr>
    </w:p>
    <w:p w14:paraId="2A6E6ABD" w14:textId="77777777" w:rsidR="00602DED" w:rsidRDefault="000034E1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Wiedemann</w:t>
      </w:r>
      <w:proofErr w:type="spellEnd"/>
      <w:r>
        <w:rPr>
          <w:rFonts w:ascii="Times New Roman" w:hAnsi="Times New Roman"/>
        </w:rPr>
        <w:t xml:space="preserve">, T.  (1993) </w:t>
      </w:r>
      <w:r w:rsidR="00602DED">
        <w:rPr>
          <w:rFonts w:ascii="Times New Roman" w:hAnsi="Times New Roman"/>
        </w:rPr>
        <w:t xml:space="preserve">“Sallust’s </w:t>
      </w:r>
      <w:proofErr w:type="spellStart"/>
      <w:r w:rsidR="00602DED">
        <w:rPr>
          <w:rFonts w:ascii="Times New Roman" w:hAnsi="Times New Roman"/>
        </w:rPr>
        <w:t>Jugurtha</w:t>
      </w:r>
      <w:proofErr w:type="spellEnd"/>
      <w:r w:rsidR="00602DED">
        <w:rPr>
          <w:rFonts w:ascii="Times New Roman" w:hAnsi="Times New Roman"/>
        </w:rPr>
        <w:t>: Concord, Discord and the Digressions” GR 40: 48-</w:t>
      </w:r>
    </w:p>
    <w:p w14:paraId="7E15E7AB" w14:textId="6901A3B5" w:rsidR="000034E1" w:rsidRPr="000034E1" w:rsidRDefault="00602DED" w:rsidP="00602DED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57.</w:t>
      </w:r>
    </w:p>
    <w:sectPr w:rsidR="000034E1" w:rsidRPr="000034E1" w:rsidSect="007076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F3"/>
    <w:rsid w:val="000034E1"/>
    <w:rsid w:val="000B1987"/>
    <w:rsid w:val="000B1A6F"/>
    <w:rsid w:val="0012479D"/>
    <w:rsid w:val="00150D32"/>
    <w:rsid w:val="00220C89"/>
    <w:rsid w:val="002C3EE5"/>
    <w:rsid w:val="00333169"/>
    <w:rsid w:val="003714C4"/>
    <w:rsid w:val="00602DED"/>
    <w:rsid w:val="00625EA4"/>
    <w:rsid w:val="006362EA"/>
    <w:rsid w:val="0065145A"/>
    <w:rsid w:val="006631BF"/>
    <w:rsid w:val="007047AF"/>
    <w:rsid w:val="007076F3"/>
    <w:rsid w:val="007B5FEF"/>
    <w:rsid w:val="00906D55"/>
    <w:rsid w:val="009551F5"/>
    <w:rsid w:val="00981684"/>
    <w:rsid w:val="0098582B"/>
    <w:rsid w:val="009B1141"/>
    <w:rsid w:val="009E01CF"/>
    <w:rsid w:val="009F1C71"/>
    <w:rsid w:val="00A83895"/>
    <w:rsid w:val="00A86CA3"/>
    <w:rsid w:val="00AA62BB"/>
    <w:rsid w:val="00AB483E"/>
    <w:rsid w:val="00B56087"/>
    <w:rsid w:val="00BC47BE"/>
    <w:rsid w:val="00BF2F01"/>
    <w:rsid w:val="00D856DD"/>
    <w:rsid w:val="00D87026"/>
    <w:rsid w:val="00DF7E93"/>
    <w:rsid w:val="00E56094"/>
    <w:rsid w:val="00E82E5C"/>
    <w:rsid w:val="00ED7F0F"/>
    <w:rsid w:val="00EF5D00"/>
    <w:rsid w:val="00FE4CE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E82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0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E82E5C"/>
    <w:rPr>
      <w:sz w:val="18"/>
      <w:szCs w:val="18"/>
    </w:rPr>
  </w:style>
  <w:style w:type="paragraph" w:styleId="CommentText">
    <w:name w:val="annotation text"/>
    <w:basedOn w:val="Normal"/>
    <w:link w:val="CommentTextChar"/>
    <w:rsid w:val="00E82E5C"/>
  </w:style>
  <w:style w:type="character" w:customStyle="1" w:styleId="CommentTextChar">
    <w:name w:val="Comment Text Char"/>
    <w:basedOn w:val="DefaultParagraphFont"/>
    <w:link w:val="CommentText"/>
    <w:rsid w:val="00E82E5C"/>
  </w:style>
  <w:style w:type="paragraph" w:styleId="CommentSubject">
    <w:name w:val="annotation subject"/>
    <w:basedOn w:val="CommentText"/>
    <w:next w:val="CommentText"/>
    <w:link w:val="CommentSubjectChar"/>
    <w:rsid w:val="00E82E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82E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E8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2E5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07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E82E5C"/>
    <w:rPr>
      <w:sz w:val="18"/>
      <w:szCs w:val="18"/>
    </w:rPr>
  </w:style>
  <w:style w:type="paragraph" w:styleId="CommentText">
    <w:name w:val="annotation text"/>
    <w:basedOn w:val="Normal"/>
    <w:link w:val="CommentTextChar"/>
    <w:rsid w:val="00E82E5C"/>
  </w:style>
  <w:style w:type="character" w:customStyle="1" w:styleId="CommentTextChar">
    <w:name w:val="Comment Text Char"/>
    <w:basedOn w:val="DefaultParagraphFont"/>
    <w:link w:val="CommentText"/>
    <w:rsid w:val="00E82E5C"/>
  </w:style>
  <w:style w:type="paragraph" w:styleId="CommentSubject">
    <w:name w:val="annotation subject"/>
    <w:basedOn w:val="CommentText"/>
    <w:next w:val="CommentText"/>
    <w:link w:val="CommentSubjectChar"/>
    <w:rsid w:val="00E82E5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82E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E8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82E5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250BB042</Template>
  <TotalTime>0</TotalTime>
  <Pages>2</Pages>
  <Words>618</Words>
  <Characters>3527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2011-05-18T17:27:00Z</cp:lastPrinted>
  <dcterms:created xsi:type="dcterms:W3CDTF">2011-09-22T00:57:00Z</dcterms:created>
  <dcterms:modified xsi:type="dcterms:W3CDTF">2011-09-22T00:57:00Z</dcterms:modified>
</cp:coreProperties>
</file>