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spacing w:after="200"/>
      </w:pPr>
      <w:r>
        <w:rPr>
          <w:rFonts w:ascii="Times New Roman" w:h-ansi="Times New Roman" w:cs="Times New Roman"/>
          <w:sz w:val="24"/>
          <w:sz-cs w:val="24"/>
        </w:rPr>
        <w:t xml:space="preserve">Some Observations On Urban Retail: the </w:t>
      </w:r>
      <w:r>
        <w:rPr>
          <w:rFonts w:ascii="Times New Roman" w:h-ansi="Times New Roman" w:cs="Times New Roman"/>
          <w:sz w:val="24"/>
          <w:sz-cs w:val="24"/>
          <w:i/>
        </w:rPr>
        <w:t xml:space="preserve">sagarii</w:t>
      </w:r>
      <w:r>
        <w:rPr>
          <w:rFonts w:ascii="Times New Roman" w:h-ansi="Times New Roman" w:cs="Times New Roman"/>
          <w:sz w:val="24"/>
          <w:sz-cs w:val="24"/>
        </w:rPr>
        <w:t xml:space="preserve"> in Imperial Rome</w:t>
      </w:r>
    </w:p>
    <w:p>
      <w:pPr>
        <w:spacing w:after="200"/>
      </w:pPr>
      <w:r>
        <w:rPr>
          <w:rFonts w:ascii="Times New Roman" w:h-ansi="Times New Roman" w:cs="Times New Roman"/>
          <w:sz w:val="24"/>
          <w:sz-cs w:val="24"/>
        </w:rPr>
        <w:t xml:space="preserve">“</w:t>
      </w:r>
      <w:r>
        <w:rPr>
          <w:rFonts w:ascii="Times New Roman" w:h-ansi="Times New Roman" w:cs="Times New Roman"/>
          <w:sz w:val="24"/>
          <w:sz-cs w:val="24"/>
          <w:i/>
        </w:rPr>
        <w:t xml:space="preserve">Whatever the seasons make grow and whatever countries and rivers and lakes and arts of Greeks and non-Greeks produce are brought from every land and sea…Whatever is raised and manufactured among each people does not fail to be here at all times and overflowing…The city appears a kind of common emporium of the world(</w:t>
      </w:r>
      <w:r>
        <w:rPr>
          <w:rFonts w:ascii="Times New Roman" w:h-ansi="Times New Roman" w:cs="Times New Roman"/>
          <w:sz w:val="24"/>
          <w:sz-cs w:val="24"/>
        </w:rPr>
        <w:t xml:space="preserve">Or</w:t>
      </w:r>
      <w:r>
        <w:rPr>
          <w:rFonts w:ascii="Times New Roman" w:h-ansi="Times New Roman" w:cs="Times New Roman"/>
          <w:sz w:val="24"/>
          <w:sz-cs w:val="24"/>
          <w:i/>
        </w:rPr>
        <w:t xml:space="preserve">. 26.11-12.).”</w:t>
      </w:r>
    </w:p>
    <w:p>
      <w:pPr>
        <w:spacing w:after="200"/>
      </w:pPr>
      <w:r>
        <w:rPr>
          <w:rFonts w:ascii="Times New Roman" w:h-ansi="Times New Roman" w:cs="Times New Roman"/>
          <w:sz w:val="24"/>
          <w:sz-cs w:val="24"/>
        </w:rPr>
        <w:t xml:space="preserve">Among the multitude of shopkeepers, wholesalers, merchants, and traders actively engaged in the commerce of goods from around the empire in the city of Rome, the </w:t>
      </w:r>
      <w:r>
        <w:rPr>
          <w:rFonts w:ascii="Times New Roman" w:h-ansi="Times New Roman" w:cs="Times New Roman"/>
          <w:sz w:val="24"/>
          <w:sz-cs w:val="24"/>
          <w:i/>
        </w:rPr>
        <w:t xml:space="preserve">sagarii</w:t>
      </w:r>
      <w:r>
        <w:rPr>
          <w:rFonts w:ascii="Times New Roman" w:h-ansi="Times New Roman" w:cs="Times New Roman"/>
          <w:sz w:val="24"/>
          <w:sz-cs w:val="24"/>
        </w:rPr>
        <w:t xml:space="preserve">, cloak-sellers, represent a single, minor facet of the imperial economy. A close study of the 16 epigraphic texts erected by and for this group of sellers in and around the city can nonetheless advance our understanding of the structure of urban retail.In this paper, I will discuss the organization of the retail trade of the </w:t>
      </w:r>
      <w:r>
        <w:rPr>
          <w:rFonts w:ascii="Times New Roman" w:h-ansi="Times New Roman" w:cs="Times New Roman"/>
          <w:sz w:val="24"/>
          <w:sz-cs w:val="24"/>
          <w:i/>
        </w:rPr>
        <w:t xml:space="preserve">sagarii</w:t>
      </w:r>
      <w:r>
        <w:rPr>
          <w:rFonts w:ascii="Times New Roman" w:h-ansi="Times New Roman" w:cs="Times New Roman"/>
          <w:sz w:val="24"/>
          <w:sz-cs w:val="24"/>
        </w:rPr>
        <w:t xml:space="preserve"> from sheep to shop front, concentrating in particular on the institutions (</w:t>
      </w:r>
      <w:r>
        <w:rPr>
          <w:rFonts w:ascii="Times New Roman" w:h-ansi="Times New Roman" w:cs="Times New Roman"/>
          <w:sz w:val="24"/>
          <w:sz-cs w:val="24"/>
          <w:i/>
        </w:rPr>
        <w:t xml:space="preserve">e.g.cultores domus Augustae</w:t>
      </w:r>
      <w:r>
        <w:rPr>
          <w:rFonts w:ascii="Times New Roman" w:h-ansi="Times New Roman" w:cs="Times New Roman"/>
          <w:sz w:val="24"/>
          <w:sz-cs w:val="24"/>
        </w:rPr>
        <w:t xml:space="preserve"> and </w:t>
      </w:r>
      <w:r>
        <w:rPr>
          <w:rFonts w:ascii="Times New Roman" w:h-ansi="Times New Roman" w:cs="Times New Roman"/>
          <w:sz w:val="24"/>
          <w:sz-cs w:val="24"/>
          <w:i/>
        </w:rPr>
        <w:t xml:space="preserve">cohors sagariorum</w:t>
      </w:r>
      <w:r>
        <w:rPr>
          <w:rFonts w:ascii="Times New Roman" w:h-ansi="Times New Roman" w:cs="Times New Roman"/>
          <w:sz w:val="24"/>
          <w:sz-cs w:val="24"/>
        </w:rPr>
        <w:t xml:space="preserve">) the group formed within Rome. </w:t>
      </w:r>
    </w:p>
    <w:p>
      <w:pPr>
        <w:spacing w:after="200"/>
      </w:pPr>
      <w:r>
        <w:rPr>
          <w:rFonts w:ascii="Times New Roman" w:h-ansi="Times New Roman" w:cs="Times New Roman"/>
          <w:sz w:val="24"/>
          <w:sz-cs w:val="24"/>
        </w:rPr>
        <w:t xml:space="preserve">Studies concerning retail are curiously absent from over a century of scholarship on the ancient Roman economy; especially considering how closely retail relates to issues of urbanization, scale, market integration, prices and currency, transport, trade, distribution, and questions of sophistication and rationalism in the economy. Recent publications, such as the </w:t>
      </w:r>
      <w:r>
        <w:rPr>
          <w:rFonts w:ascii="Times New Roman" w:h-ansi="Times New Roman" w:cs="Times New Roman"/>
          <w:sz w:val="24"/>
          <w:sz-cs w:val="24"/>
          <w:i/>
        </w:rPr>
        <w:t xml:space="preserve">Cambridge Economic History of the Greco-Roman World</w:t>
      </w:r>
      <w:r>
        <w:rPr>
          <w:rFonts w:ascii="Times New Roman" w:h-ansi="Times New Roman" w:cs="Times New Roman"/>
          <w:sz w:val="24"/>
          <w:sz-cs w:val="24"/>
        </w:rPr>
        <w:t xml:space="preserve"> (2007) and </w:t>
      </w:r>
      <w:r>
        <w:rPr>
          <w:rFonts w:ascii="Times New Roman" w:h-ansi="Times New Roman" w:cs="Times New Roman"/>
          <w:sz w:val="24"/>
          <w:sz-cs w:val="24"/>
          <w:i/>
        </w:rPr>
        <w:t xml:space="preserve">Quantifying the Roman Economy: Methods and Problems</w:t>
      </w:r>
      <w:r>
        <w:rPr>
          <w:rFonts w:ascii="Times New Roman" w:h-ansi="Times New Roman" w:cs="Times New Roman"/>
          <w:sz w:val="24"/>
          <w:sz-cs w:val="24"/>
        </w:rPr>
        <w:t xml:space="preserve"> (2009), while extensive in scope and forward-looking, continue to focus on trade, manufacture, and agricultural production as the chief markers of economic growth and development. The few studies that discuss commerce in ancient Rome deal more with consumption than consumerism (Greene 2008, Jongman 2007). </w:t>
      </w:r>
    </w:p>
    <w:p>
      <w:pPr>
        <w:spacing w:after="200"/>
      </w:pPr>
      <w:r>
        <w:rPr>
          <w:rFonts w:ascii="Times New Roman" w:h-ansi="Times New Roman" w:cs="Times New Roman"/>
          <w:sz w:val="24"/>
          <w:sz-cs w:val="24"/>
        </w:rPr>
        <w:t xml:space="preserve">Regardless of its absence in contemporary scholarship, the evidence for retail in Rome is ubiquitous. The </w:t>
      </w:r>
      <w:r>
        <w:rPr>
          <w:rFonts w:ascii="Times New Roman" w:h-ansi="Times New Roman" w:cs="Times New Roman"/>
          <w:sz w:val="24"/>
          <w:sz-cs w:val="24"/>
          <w:i/>
        </w:rPr>
        <w:t xml:space="preserve">Forma Urbis Romae </w:t>
      </w:r>
      <w:r>
        <w:rPr>
          <w:rFonts w:ascii="Times New Roman" w:h-ansi="Times New Roman" w:cs="Times New Roman"/>
          <w:sz w:val="24"/>
          <w:sz-cs w:val="24"/>
        </w:rPr>
        <w:t xml:space="preserve">depicts thousands of </w:t>
      </w:r>
      <w:r>
        <w:rPr>
          <w:rFonts w:ascii="Times New Roman" w:h-ansi="Times New Roman" w:cs="Times New Roman"/>
          <w:sz w:val="24"/>
          <w:sz-cs w:val="24"/>
          <w:i/>
        </w:rPr>
        <w:t xml:space="preserve">tabernae</w:t>
      </w:r>
      <w:r>
        <w:rPr>
          <w:rFonts w:ascii="Times New Roman" w:h-ansi="Times New Roman" w:cs="Times New Roman"/>
          <w:sz w:val="24"/>
          <w:sz-cs w:val="24"/>
        </w:rPr>
        <w:t xml:space="preserve"> lining Rome’s streets, as well as </w:t>
      </w:r>
      <w:r>
        <w:rPr>
          <w:rFonts w:ascii="Times New Roman" w:h-ansi="Times New Roman" w:cs="Times New Roman"/>
          <w:sz w:val="24"/>
          <w:sz-cs w:val="24"/>
          <w:i/>
        </w:rPr>
        <w:t xml:space="preserve">horrea</w:t>
      </w:r>
      <w:r>
        <w:rPr>
          <w:rFonts w:ascii="Times New Roman" w:h-ansi="Times New Roman" w:cs="Times New Roman"/>
          <w:sz w:val="24"/>
          <w:sz-cs w:val="24"/>
        </w:rPr>
        <w:t xml:space="preserve"> and several </w:t>
      </w:r>
      <w:r>
        <w:rPr>
          <w:rFonts w:ascii="Times New Roman" w:h-ansi="Times New Roman" w:cs="Times New Roman"/>
          <w:sz w:val="24"/>
          <w:sz-cs w:val="24"/>
          <w:i/>
        </w:rPr>
        <w:t xml:space="preserve">macella</w:t>
      </w:r>
      <w:r>
        <w:rPr>
          <w:rFonts w:ascii="Times New Roman" w:h-ansi="Times New Roman" w:cs="Times New Roman"/>
          <w:sz w:val="24"/>
          <w:sz-cs w:val="24"/>
        </w:rPr>
        <w:t xml:space="preserve"> and </w:t>
      </w:r>
      <w:r>
        <w:rPr>
          <w:rFonts w:ascii="Times New Roman" w:h-ansi="Times New Roman" w:cs="Times New Roman"/>
          <w:sz w:val="24"/>
          <w:sz-cs w:val="24"/>
          <w:i/>
        </w:rPr>
        <w:t xml:space="preserve">fora</w:t>
      </w:r>
      <w:r>
        <w:rPr>
          <w:rFonts w:ascii="Times New Roman" w:h-ansi="Times New Roman" w:cs="Times New Roman"/>
          <w:sz w:val="24"/>
          <w:sz-cs w:val="24"/>
        </w:rPr>
        <w:t xml:space="preserve">, which acted as centers of commerce. The literary sources also attest to the thriving commercial scene in the capital (</w:t>
      </w:r>
      <w:r>
        <w:rPr>
          <w:rFonts w:ascii="Times New Roman" w:h-ansi="Times New Roman" w:cs="Times New Roman"/>
          <w:sz w:val="24"/>
          <w:sz-cs w:val="24"/>
          <w:i/>
        </w:rPr>
        <w:t xml:space="preserve">e.g.</w:t>
      </w:r>
      <w:r>
        <w:rPr>
          <w:rFonts w:ascii="Times New Roman" w:h-ansi="Times New Roman" w:cs="Times New Roman"/>
          <w:sz w:val="24"/>
          <w:sz-cs w:val="24"/>
        </w:rPr>
        <w:t xml:space="preserve"> see above). Finally the epigraphic record contains numerous texts about retailers, providing data on social status, familial and business relations, and even the topographical locations of retail spaces. We may never be able to reconstruct the nature of the Roman economy with true accuracy, but unless we start incorporating research on the structure and development of retail, we will continue to expend our efforts building, at best, a very partial concept. This paper is small and concentrated in scope: the </w:t>
      </w:r>
      <w:r>
        <w:rPr>
          <w:rFonts w:ascii="Times New Roman" w:h-ansi="Times New Roman" w:cs="Times New Roman"/>
          <w:sz w:val="24"/>
          <w:sz-cs w:val="24"/>
          <w:i/>
        </w:rPr>
        <w:t xml:space="preserve">sagarii</w:t>
      </w:r>
      <w:r>
        <w:rPr>
          <w:rFonts w:ascii="Times New Roman" w:h-ansi="Times New Roman" w:cs="Times New Roman"/>
          <w:sz w:val="24"/>
          <w:sz-cs w:val="24"/>
        </w:rPr>
        <w:t xml:space="preserve"> of imperial Rome, but by outlining the framework of one trade, I hope to increase our knowledge of urban retail in general and present a fresh and largely untried angle for approaching future work on the ancient economy.   </w:t>
      </w:r>
    </w:p>
    <w:p>
      <w:pPr>
        <w:jc w:val="center"/>
        <w:spacing w:after="200"/>
      </w:pPr>
      <w:r>
        <w:rPr>
          <w:rFonts w:ascii="Times New Roman" w:h-ansi="Times New Roman" w:cs="Times New Roman"/>
          <w:sz w:val="24"/>
          <w:sz-cs w:val="24"/>
        </w:rPr>
        <w:t xml:space="preserve"/>
      </w:r>
    </w:p>
    <w:p>
      <w:pPr>
        <w:jc w:val="center"/>
        <w:spacing w:after="200"/>
      </w:pPr>
      <w:r>
        <w:rPr>
          <w:rFonts w:ascii="Times New Roman" w:h-ansi="Times New Roman" w:cs="Times New Roman"/>
          <w:sz w:val="24"/>
          <w:sz-cs w:val="24"/>
        </w:rPr>
        <w:t xml:space="preserve">Abbreviations</w:t>
      </w:r>
    </w:p>
    <w:p>
      <w:pPr>
        <w:spacing w:after="200"/>
      </w:pPr>
      <w:r>
        <w:rPr>
          <w:rFonts w:ascii="Times New Roman" w:h-ansi="Times New Roman" w:cs="Times New Roman"/>
          <w:sz w:val="24"/>
          <w:sz-cs w:val="24"/>
          <w:i/>
        </w:rPr>
        <w:t xml:space="preserve">AE</w:t>
      </w:r>
      <w:r>
        <w:rPr>
          <w:rFonts w:ascii="Times New Roman" w:h-ansi="Times New Roman" w:cs="Times New Roman"/>
          <w:sz w:val="24"/>
          <w:sz-cs w:val="24"/>
        </w:rPr>
        <w:t xml:space="preserve"/>
        <w:tab/>
        <w:t xml:space="preserve"/>
      </w:r>
      <w:r>
        <w:rPr>
          <w:rFonts w:ascii="Times New Roman" w:h-ansi="Times New Roman" w:cs="Times New Roman"/>
          <w:sz w:val="24"/>
          <w:sz-cs w:val="24"/>
          <w:i/>
        </w:rPr>
        <w:t xml:space="preserve">L’AnnéeÉpigraphique</w:t>
      </w:r>
      <w:r>
        <w:rPr>
          <w:rFonts w:ascii="Times New Roman" w:h-ansi="Times New Roman" w:cs="Times New Roman"/>
          <w:sz w:val="24"/>
          <w:sz-cs w:val="24"/>
        </w:rPr>
        <w:t xml:space="preserve">, published in </w:t>
      </w:r>
      <w:r>
        <w:rPr>
          <w:rFonts w:ascii="Times New Roman" w:h-ansi="Times New Roman" w:cs="Times New Roman"/>
          <w:sz w:val="24"/>
          <w:sz-cs w:val="24"/>
          <w:i/>
        </w:rPr>
        <w:t xml:space="preserve">Revue Archéologique</w:t>
      </w:r>
      <w:r>
        <w:rPr>
          <w:rFonts w:ascii="Times New Roman" w:h-ansi="Times New Roman" w:cs="Times New Roman"/>
          <w:sz w:val="24"/>
          <w:sz-cs w:val="24"/>
        </w:rPr>
        <w:t xml:space="preserve"> and separately, 1888-</w:t>
      </w:r>
    </w:p>
    <w:p>
      <w:pPr>
        <w:spacing w:after="200"/>
      </w:pPr>
      <w:r>
        <w:rPr>
          <w:rFonts w:ascii="Times New Roman" w:h-ansi="Times New Roman" w:cs="Times New Roman"/>
          <w:sz w:val="24"/>
          <w:sz-cs w:val="24"/>
          <w:i/>
        </w:rPr>
        <w:t xml:space="preserve">CIL</w:t>
      </w:r>
      <w:r>
        <w:rPr>
          <w:rFonts w:ascii="Times New Roman" w:h-ansi="Times New Roman" w:cs="Times New Roman"/>
          <w:sz w:val="24"/>
          <w:sz-cs w:val="24"/>
        </w:rPr>
        <w:t xml:space="preserve"/>
        <w:tab/>
        <w:t xml:space="preserve"/>
      </w:r>
      <w:r>
        <w:rPr>
          <w:rFonts w:ascii="Times New Roman" w:h-ansi="Times New Roman" w:cs="Times New Roman"/>
          <w:sz w:val="24"/>
          <w:sz-cs w:val="24"/>
          <w:i/>
        </w:rPr>
        <w:t xml:space="preserve">Corpus InscriptionumLatinarum</w:t>
      </w:r>
      <w:r>
        <w:rPr>
          <w:rFonts w:ascii="Times New Roman" w:h-ansi="Times New Roman" w:cs="Times New Roman"/>
          <w:sz w:val="24"/>
          <w:sz-cs w:val="24"/>
        </w:rPr>
        <w:t xml:space="preserve">, 1863-</w:t>
      </w:r>
    </w:p>
    <w:p>
      <w:pPr>
        <w:spacing w:after="200"/>
      </w:pPr>
      <w:r>
        <w:rPr>
          <w:rFonts w:ascii="Times New Roman" w:h-ansi="Times New Roman" w:cs="Times New Roman"/>
          <w:sz w:val="24"/>
          <w:sz-cs w:val="24"/>
          <w:i/>
        </w:rPr>
        <w:t xml:space="preserve">ILS</w:t>
      </w:r>
      <w:r>
        <w:rPr>
          <w:rFonts w:ascii="Times New Roman" w:h-ansi="Times New Roman" w:cs="Times New Roman"/>
          <w:sz w:val="24"/>
          <w:sz-cs w:val="24"/>
        </w:rPr>
        <w:t xml:space="preserve"/>
        <w:tab/>
        <w:t xml:space="preserve">H. Dessau, </w:t>
      </w:r>
      <w:r>
        <w:rPr>
          <w:rFonts w:ascii="Times New Roman" w:h-ansi="Times New Roman" w:cs="Times New Roman"/>
          <w:sz w:val="24"/>
          <w:sz-cs w:val="24"/>
          <w:i/>
        </w:rPr>
        <w:t xml:space="preserve">InscriptionesLatinaeSelectae</w:t>
      </w:r>
      <w:r>
        <w:rPr>
          <w:rFonts w:ascii="Times New Roman" w:h-ansi="Times New Roman" w:cs="Times New Roman"/>
          <w:sz w:val="24"/>
          <w:sz-cs w:val="24"/>
        </w:rPr>
        <w:t xml:space="preserve">, 1892-1916</w:t>
      </w:r>
    </w:p>
    <w:p>
      <w:pPr>
        <w:spacing w:after="200"/>
      </w:pPr>
      <w:r>
        <w:rPr>
          <w:rFonts w:ascii="Times New Roman" w:h-ansi="Times New Roman" w:cs="Times New Roman"/>
          <w:sz w:val="24"/>
          <w:sz-cs w:val="24"/>
        </w:rPr>
        <w:t xml:space="preserve"/>
      </w:r>
    </w:p>
    <w:p>
      <w:pPr>
        <w:jc w:val="center"/>
        <w:spacing w:after="200"/>
      </w:pPr>
      <w:r>
        <w:rPr>
          <w:rFonts w:ascii="Times New Roman" w:h-ansi="Times New Roman" w:cs="Times New Roman"/>
          <w:sz w:val="24"/>
          <w:sz-cs w:val="24"/>
        </w:rPr>
        <w:t xml:space="preserve">Electronic Sources</w:t>
      </w:r>
    </w:p>
    <w:p>
      <w:pPr>
        <w:spacing w:after="200"/>
      </w:pPr>
      <w:r>
        <w:rPr>
          <w:rFonts w:ascii="Cambria" w:h-ansi="Cambria" w:cs="Cambria"/>
          <w:sz w:val="24"/>
          <w:sz-cs w:val="24"/>
        </w:rPr>
        <w:t xml:space="preserve">Stanford Digital Forma Urbis Romae Project, http://formaurbis.stanford.edu/docs/FURmap.html, 09/20/13.</w:t>
      </w:r>
      <w:r>
        <w:rPr>
          <w:rFonts w:ascii="Times New Roman" w:h-ansi="Times New Roman" w:cs="Times New Roman"/>
          <w:sz w:val="24"/>
          <w:sz-cs w:val="24"/>
        </w:rPr>
        <w:t xml:space="preserve"/>
      </w:r>
    </w:p>
    <w:p>
      <w:pPr>
        <w:spacing w:after="200"/>
      </w:pPr>
      <w:r>
        <w:rPr>
          <w:rFonts w:ascii="Times New Roman" w:h-ansi="Times New Roman" w:cs="Times New Roman"/>
          <w:sz w:val="24"/>
          <w:sz-cs w:val="24"/>
        </w:rPr>
        <w:t xml:space="preserve"/>
      </w:r>
    </w:p>
    <w:p>
      <w:pPr>
        <w:jc w:val="center"/>
        <w:spacing w:after="200"/>
      </w:pPr>
      <w:r>
        <w:rPr>
          <w:rFonts w:ascii="Times New Roman" w:h-ansi="Times New Roman" w:cs="Times New Roman"/>
          <w:sz w:val="24"/>
          <w:sz-cs w:val="24"/>
        </w:rPr>
        <w:t xml:space="preserve">Work Cited</w:t>
      </w:r>
    </w:p>
    <w:p>
      <w:pPr>
        <w:spacing w:after="200"/>
      </w:pPr>
      <w:r>
        <w:rPr>
          <w:rFonts w:ascii="Times New Roman" w:h-ansi="Times New Roman" w:cs="Times New Roman"/>
          <w:sz w:val="24"/>
          <w:sz-cs w:val="24"/>
        </w:rPr>
        <w:t xml:space="preserve">Bowman, A. and Wilson, A. (eds.). 2009. </w:t>
      </w:r>
      <w:r>
        <w:rPr>
          <w:rFonts w:ascii="Times New Roman" w:h-ansi="Times New Roman" w:cs="Times New Roman"/>
          <w:sz w:val="24"/>
          <w:sz-cs w:val="24"/>
          <w:i/>
        </w:rPr>
        <w:t xml:space="preserve">Quantifying the Roman Economy: Methods and Problems.</w:t>
      </w:r>
      <w:r>
        <w:rPr>
          <w:rFonts w:ascii="Times New Roman" w:h-ansi="Times New Roman" w:cs="Times New Roman"/>
          <w:sz w:val="24"/>
          <w:sz-cs w:val="24"/>
        </w:rPr>
        <w:t xml:space="preserve"> Oxford: Oxford University Press. </w:t>
      </w:r>
    </w:p>
    <w:p>
      <w:pPr>
        <w:spacing w:after="200"/>
      </w:pPr>
      <w:r>
        <w:rPr>
          <w:rFonts w:ascii="Times New Roman" w:h-ansi="Times New Roman" w:cs="Times New Roman"/>
          <w:sz w:val="24"/>
          <w:sz-cs w:val="24"/>
        </w:rPr>
        <w:t xml:space="preserve">Greene, K. 2008. “Learning to Consume: Consumption and Consumerism in The Roman Empire,” </w:t>
      </w:r>
      <w:r>
        <w:rPr>
          <w:rFonts w:ascii="Times New Roman" w:h-ansi="Times New Roman" w:cs="Times New Roman"/>
          <w:sz w:val="24"/>
          <w:sz-cs w:val="24"/>
          <w:i/>
        </w:rPr>
        <w:t xml:space="preserve">JRA</w:t>
      </w:r>
      <w:r>
        <w:rPr>
          <w:rFonts w:ascii="Times New Roman" w:h-ansi="Times New Roman" w:cs="Times New Roman"/>
          <w:sz w:val="24"/>
          <w:sz-cs w:val="24"/>
        </w:rPr>
        <w:t xml:space="preserve"> 21: 64-82.</w:t>
      </w:r>
    </w:p>
    <w:p>
      <w:pPr>
        <w:spacing w:after="200"/>
      </w:pPr>
      <w:r>
        <w:rPr>
          <w:rFonts w:ascii="Times New Roman" w:h-ansi="Times New Roman" w:cs="Times New Roman"/>
          <w:sz w:val="24"/>
          <w:sz-cs w:val="24"/>
        </w:rPr>
        <w:t xml:space="preserve">Jongman, W. 2007. “The Early Roman Empire: Consumption,” in W. Scheidel, I. Morris, and R. Saller (eds.), </w:t>
      </w:r>
      <w:r>
        <w:rPr>
          <w:rFonts w:ascii="Times New Roman" w:h-ansi="Times New Roman" w:cs="Times New Roman"/>
          <w:sz w:val="24"/>
          <w:sz-cs w:val="24"/>
          <w:i/>
        </w:rPr>
        <w:t xml:space="preserve">The Cambridge Economic History of The Greco-Roman World</w:t>
      </w:r>
      <w:r>
        <w:rPr>
          <w:rFonts w:ascii="Times New Roman" w:h-ansi="Times New Roman" w:cs="Times New Roman"/>
          <w:sz w:val="24"/>
          <w:sz-cs w:val="24"/>
        </w:rPr>
        <w:t xml:space="preserve">. Cambridge: Cambridge University Press: 592-618.</w:t>
      </w:r>
    </w:p>
    <w:p>
      <w:pPr>
        <w:spacing w:after="200"/>
      </w:pPr>
      <w:r>
        <w:rPr>
          <w:rFonts w:ascii="Times New Roman" w:h-ansi="Times New Roman" w:cs="Times New Roman"/>
          <w:sz w:val="24"/>
          <w:sz-cs w:val="24"/>
        </w:rPr>
        <w:t xml:space="preserve">Scheidel, W., Morris, I., Saller, R. (eds.). 2007. </w:t>
      </w:r>
      <w:r>
        <w:rPr>
          <w:rFonts w:ascii="Times New Roman" w:h-ansi="Times New Roman" w:cs="Times New Roman"/>
          <w:sz w:val="24"/>
          <w:sz-cs w:val="24"/>
          <w:i/>
        </w:rPr>
        <w:t xml:space="preserve">The Cambridge Economic History of The Greco-Roman World</w:t>
      </w:r>
      <w:r>
        <w:rPr>
          <w:rFonts w:ascii="Times New Roman" w:h-ansi="Times New Roman" w:cs="Times New Roman"/>
          <w:sz w:val="24"/>
          <w:sz-cs w:val="24"/>
        </w:rPr>
        <w:t xml:space="preserve">. Cambridge: Cambridge University Press. </w:t>
      </w:r>
    </w:p>
    <w:p>
      <w:pPr>
        <w:spacing w:after="200"/>
      </w:pPr>
      <w:r>
        <w:rPr>
          <w:rFonts w:ascii="Times New Roman" w:h-ansi="Times New Roman" w:cs="Times New Roman"/>
          <w:sz w:val="24"/>
          <w:sz-cs w:val="24"/>
        </w:rPr>
        <w:t xml:space="preserve"/>
      </w:r>
    </w:p>
    <w:p>
      <w:pPr>
        <w:spacing w:after="200"/>
      </w:pPr>
      <w:r>
        <w:rPr>
          <w:rFonts w:ascii="Times New Roman" w:h-ansi="Times New Roman" w:cs="Times New Roman"/>
          <w:sz w:val="24"/>
          <w:sz-cs w:val="24"/>
        </w:rPr>
        <w:t xml:space="preserve"/>
      </w:r>
    </w:p>
    <w:sectPr>
      <w:pgSz w:w="12240" w:h="15840"/>
      <w:pgMar w:top="1440" w:right="1800" w:bottom="1440" w:left="180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Monmouth College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Some Observations On Urban Retail: the sagarii in Imperial Rome</dc:title>
  <dc:creator>Sienkewicz, Thomas J.</dc:creator>
</cp:coreProperties>
</file>

<file path=docProps/meta.xml><?xml version="1.0" encoding="utf-8"?>
<meta xmlns="http://schemas.apple.com/cocoa/2006/metadata">
  <generator>CocoaOOXMLWriter/949.54</generator>
</meta>
</file>