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D0" w:rsidRDefault="00655382" w:rsidP="00655382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Poets, proems, and the problem of politics: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Lucretian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ataraxia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Aeneid</w:t>
      </w:r>
      <w:proofErr w:type="spellEnd"/>
    </w:p>
    <w:p w:rsidR="00655382" w:rsidRDefault="00655382" w:rsidP="0065538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a publication from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2005</w:t>
      </w:r>
      <w:r w:rsidR="00372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Edgeworth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claimed that the authorial ambivalence of Vergil in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Aeneid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based around two competing methods of narrative </w:t>
      </w:r>
      <w:r w:rsidR="006D38FF">
        <w:rPr>
          <w:rFonts w:ascii="Times New Roman" w:hAnsi="Times New Roman" w:cs="Times New Roman"/>
          <w:sz w:val="24"/>
          <w:szCs w:val="24"/>
        </w:rPr>
        <w:t>judgment</w:t>
      </w:r>
      <w:r>
        <w:rPr>
          <w:rFonts w:ascii="Times New Roman" w:hAnsi="Times New Roman" w:cs="Times New Roman"/>
          <w:sz w:val="24"/>
          <w:szCs w:val="24"/>
        </w:rPr>
        <w:t xml:space="preserve">. On the one hand, one can judge the actions of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Aeneid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through the lens of teleology; on the other hand, it is equally possible to judge</w:t>
      </w:r>
      <w:r w:rsidR="00372E5A">
        <w:rPr>
          <w:rFonts w:ascii="Times New Roman" w:hAnsi="Times New Roman" w:cs="Times New Roman"/>
          <w:sz w:val="24"/>
          <w:szCs w:val="24"/>
        </w:rPr>
        <w:t xml:space="preserve"> those actions </w:t>
      </w:r>
      <w:r w:rsidR="006D38FF">
        <w:rPr>
          <w:rFonts w:ascii="Times New Roman" w:hAnsi="Times New Roman" w:cs="Times New Roman"/>
          <w:sz w:val="24"/>
          <w:szCs w:val="24"/>
        </w:rPr>
        <w:t>through a moral lens</w:t>
      </w:r>
      <w:r>
        <w:rPr>
          <w:rFonts w:ascii="Times New Roman" w:hAnsi="Times New Roman" w:cs="Times New Roman"/>
          <w:sz w:val="24"/>
          <w:szCs w:val="24"/>
        </w:rPr>
        <w:t>. These two competing methods of narrative judgment are often at odds with one anot</w:t>
      </w:r>
      <w:r w:rsidR="006D38FF">
        <w:rPr>
          <w:rFonts w:ascii="Times New Roman" w:hAnsi="Times New Roman" w:cs="Times New Roman"/>
          <w:sz w:val="24"/>
          <w:szCs w:val="24"/>
        </w:rPr>
        <w:t>her. This opposition gives</w:t>
      </w:r>
      <w:r>
        <w:rPr>
          <w:rFonts w:ascii="Times New Roman" w:hAnsi="Times New Roman" w:cs="Times New Roman"/>
          <w:sz w:val="24"/>
          <w:szCs w:val="24"/>
        </w:rPr>
        <w:t xml:space="preserve"> rise to the type of ambivalence noted by Thomas and explained semantically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Ahl</w:t>
      </w:r>
      <w:proofErr w:type="spellEnd"/>
      <w:r w:rsidR="00A307E3">
        <w:rPr>
          <w:rFonts w:ascii="Times New Roman" w:hAnsi="Times New Roman" w:cs="Times New Roman"/>
          <w:sz w:val="24"/>
          <w:szCs w:val="24"/>
        </w:rPr>
        <w:t xml:space="preserve"> (Thomas 1988; </w:t>
      </w:r>
      <w:proofErr w:type="spellStart"/>
      <w:r w:rsidR="00A307E3">
        <w:rPr>
          <w:rFonts w:ascii="Times New Roman" w:hAnsi="Times New Roman" w:cs="Times New Roman"/>
          <w:sz w:val="24"/>
          <w:szCs w:val="24"/>
        </w:rPr>
        <w:t>Ahl</w:t>
      </w:r>
      <w:proofErr w:type="spellEnd"/>
      <w:r w:rsidR="00A307E3">
        <w:rPr>
          <w:rFonts w:ascii="Times New Roman" w:hAnsi="Times New Roman" w:cs="Times New Roman"/>
          <w:sz w:val="24"/>
          <w:szCs w:val="24"/>
        </w:rPr>
        <w:t xml:space="preserve"> 1984)</w:t>
      </w:r>
      <w:r>
        <w:rPr>
          <w:rFonts w:ascii="Times New Roman" w:hAnsi="Times New Roman" w:cs="Times New Roman"/>
          <w:sz w:val="24"/>
          <w:szCs w:val="24"/>
        </w:rPr>
        <w:t xml:space="preserve">. But whence </w:t>
      </w:r>
      <w:proofErr w:type="gramStart"/>
      <w:r>
        <w:rPr>
          <w:rFonts w:ascii="Times New Roman" w:hAnsi="Times New Roman" w:cs="Times New Roman"/>
          <w:sz w:val="24"/>
          <w:szCs w:val="24"/>
        </w:rPr>
        <w:t>comes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ambivalence? The answer to this question, and the claim of this paper, is that Vergil modifies and adapts the political ambivalence (necessitated by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ataraxia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07E3">
        <w:rPr>
          <w:rFonts w:ascii="Times New Roman" w:hAnsi="Times New Roman" w:cs="Times New Roman"/>
          <w:sz w:val="24"/>
          <w:szCs w:val="24"/>
        </w:rPr>
        <w:t xml:space="preserve">of Lucretius’ </w:t>
      </w:r>
      <w:r w:rsidR="00A307E3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A307E3">
        <w:rPr>
          <w:rFonts w:ascii="Times New Roman" w:hAnsi="Times New Roman" w:cs="Times New Roman"/>
          <w:i/>
          <w:sz w:val="24"/>
          <w:szCs w:val="24"/>
        </w:rPr>
        <w:t>Rerum</w:t>
      </w:r>
      <w:proofErr w:type="spellEnd"/>
      <w:r w:rsidR="00A307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307E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="006D38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38FF">
        <w:rPr>
          <w:rFonts w:ascii="Times New Roman" w:hAnsi="Times New Roman" w:cs="Times New Roman"/>
          <w:sz w:val="24"/>
          <w:szCs w:val="24"/>
        </w:rPr>
        <w:t>in order to build his own method of teleological/moral ambivalence</w:t>
      </w:r>
      <w:r w:rsidR="00A307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2E46" w:rsidRDefault="00112E46" w:rsidP="0065538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ataraxia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Lucretius is part of his Epicurean mindset. Epicurus lived during the politically uncertain times of the 4</w:t>
      </w:r>
      <w:r w:rsidRPr="00112E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BCE. It is not surprising that Epicurus espoused a separation between politics a</w:t>
      </w:r>
      <w:r w:rsidR="006D38FF">
        <w:rPr>
          <w:rFonts w:ascii="Times New Roman" w:hAnsi="Times New Roman" w:cs="Times New Roman"/>
          <w:sz w:val="24"/>
          <w:szCs w:val="24"/>
        </w:rPr>
        <w:t xml:space="preserve">nd happiness. </w:t>
      </w:r>
      <w:r>
        <w:rPr>
          <w:rFonts w:ascii="Times New Roman" w:hAnsi="Times New Roman" w:cs="Times New Roman"/>
          <w:sz w:val="24"/>
          <w:szCs w:val="24"/>
        </w:rPr>
        <w:t>Lucretius seems to embrace this disdain for politics: he is writing during the mid-1</w:t>
      </w:r>
      <w:r w:rsidRPr="00B7209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century BC</w:t>
      </w:r>
      <w:r w:rsidR="006D38F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which was not a time of poli</w:t>
      </w:r>
      <w:r w:rsidR="006D38FF">
        <w:rPr>
          <w:rFonts w:ascii="Times New Roman" w:hAnsi="Times New Roman" w:cs="Times New Roman"/>
          <w:sz w:val="24"/>
          <w:szCs w:val="24"/>
        </w:rPr>
        <w:t>tical stability.</w:t>
      </w:r>
      <w:r w:rsidR="00372E5A">
        <w:rPr>
          <w:rFonts w:ascii="Times New Roman" w:hAnsi="Times New Roman" w:cs="Times New Roman"/>
          <w:sz w:val="24"/>
          <w:szCs w:val="24"/>
        </w:rPr>
        <w:t xml:space="preserve"> Because of Epicurean </w:t>
      </w:r>
      <w:proofErr w:type="spellStart"/>
      <w:r w:rsidR="00372E5A">
        <w:rPr>
          <w:rFonts w:ascii="Times New Roman" w:hAnsi="Times New Roman" w:cs="Times New Roman"/>
          <w:i/>
          <w:sz w:val="24"/>
          <w:szCs w:val="24"/>
        </w:rPr>
        <w:t>ataraxia</w:t>
      </w:r>
      <w:proofErr w:type="spellEnd"/>
      <w:r w:rsidR="00372E5A">
        <w:rPr>
          <w:rFonts w:ascii="Times New Roman" w:hAnsi="Times New Roman" w:cs="Times New Roman"/>
          <w:sz w:val="24"/>
          <w:szCs w:val="24"/>
        </w:rPr>
        <w:t>, Lucretius cannot appear to be trouble</w:t>
      </w:r>
      <w:r w:rsidR="00620915">
        <w:rPr>
          <w:rFonts w:ascii="Times New Roman" w:hAnsi="Times New Roman" w:cs="Times New Roman"/>
          <w:sz w:val="24"/>
          <w:szCs w:val="24"/>
        </w:rPr>
        <w:t>d by politics, and yet he</w:t>
      </w:r>
      <w:r w:rsidR="00372E5A">
        <w:rPr>
          <w:rFonts w:ascii="Times New Roman" w:hAnsi="Times New Roman" w:cs="Times New Roman"/>
          <w:sz w:val="24"/>
          <w:szCs w:val="24"/>
        </w:rPr>
        <w:t xml:space="preserve"> cannot remove himself entirely from the world around him</w:t>
      </w:r>
      <w:r w:rsidR="00620915">
        <w:rPr>
          <w:rFonts w:ascii="Times New Roman" w:hAnsi="Times New Roman" w:cs="Times New Roman"/>
          <w:sz w:val="24"/>
          <w:szCs w:val="24"/>
        </w:rPr>
        <w:t>. Thus he alludes to important political figures of his time.</w:t>
      </w:r>
      <w:r w:rsidR="00372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allusion to Venus,</w:t>
      </w:r>
      <w:r w:rsidR="006D38F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problemat</w:t>
      </w:r>
      <w:r w:rsidR="00DD54FC">
        <w:rPr>
          <w:rFonts w:ascii="Times New Roman" w:hAnsi="Times New Roman" w:cs="Times New Roman"/>
          <w:sz w:val="24"/>
          <w:szCs w:val="24"/>
        </w:rPr>
        <w:t>ic passage for many reasons</w:t>
      </w:r>
      <w:r w:rsidR="006D38FF">
        <w:rPr>
          <w:rFonts w:ascii="Times New Roman" w:hAnsi="Times New Roman" w:cs="Times New Roman"/>
          <w:sz w:val="24"/>
          <w:szCs w:val="24"/>
        </w:rPr>
        <w:t>, mentions the</w:t>
      </w:r>
      <w:r>
        <w:rPr>
          <w:rFonts w:ascii="Times New Roman" w:hAnsi="Times New Roman" w:cs="Times New Roman"/>
          <w:sz w:val="24"/>
          <w:szCs w:val="24"/>
        </w:rPr>
        <w:t xml:space="preserve"> goddess </w:t>
      </w:r>
      <w:r w:rsidR="006D38FF">
        <w:rPr>
          <w:rFonts w:ascii="Times New Roman" w:hAnsi="Times New Roman" w:cs="Times New Roman"/>
          <w:sz w:val="24"/>
          <w:szCs w:val="24"/>
        </w:rPr>
        <w:t xml:space="preserve">who is </w:t>
      </w:r>
      <w:r w:rsidR="00620915">
        <w:rPr>
          <w:rFonts w:ascii="Times New Roman" w:hAnsi="Times New Roman" w:cs="Times New Roman"/>
          <w:sz w:val="24"/>
          <w:szCs w:val="24"/>
        </w:rPr>
        <w:t>important to two political figures</w:t>
      </w:r>
      <w:r w:rsidR="006D38FF">
        <w:rPr>
          <w:rFonts w:ascii="Times New Roman" w:hAnsi="Times New Roman" w:cs="Times New Roman"/>
          <w:sz w:val="24"/>
          <w:szCs w:val="24"/>
        </w:rPr>
        <w:t>. Venus was</w:t>
      </w:r>
      <w:r w:rsidR="00DA35B7">
        <w:rPr>
          <w:rFonts w:ascii="Times New Roman" w:hAnsi="Times New Roman" w:cs="Times New Roman"/>
          <w:sz w:val="24"/>
          <w:szCs w:val="24"/>
        </w:rPr>
        <w:t xml:space="preserve"> the patron goddess of Julius Caesar. Pompey built a temple to Venus </w:t>
      </w:r>
      <w:proofErr w:type="spellStart"/>
      <w:r w:rsidR="00DA35B7">
        <w:rPr>
          <w:rFonts w:ascii="Times New Roman" w:hAnsi="Times New Roman" w:cs="Times New Roman"/>
          <w:sz w:val="24"/>
          <w:szCs w:val="24"/>
        </w:rPr>
        <w:t>Victrix</w:t>
      </w:r>
      <w:proofErr w:type="spellEnd"/>
      <w:r w:rsidR="00DA35B7">
        <w:rPr>
          <w:rFonts w:ascii="Times New Roman" w:hAnsi="Times New Roman" w:cs="Times New Roman"/>
          <w:sz w:val="24"/>
          <w:szCs w:val="24"/>
        </w:rPr>
        <w:t xml:space="preserve"> which was dedicated in honor of his military victories in the 60’s BC</w:t>
      </w:r>
      <w:r w:rsidR="006D38FF">
        <w:rPr>
          <w:rFonts w:ascii="Times New Roman" w:hAnsi="Times New Roman" w:cs="Times New Roman"/>
          <w:sz w:val="24"/>
          <w:szCs w:val="24"/>
        </w:rPr>
        <w:t>E</w:t>
      </w:r>
      <w:r w:rsidR="00DA35B7">
        <w:rPr>
          <w:rFonts w:ascii="Times New Roman" w:hAnsi="Times New Roman" w:cs="Times New Roman"/>
          <w:sz w:val="24"/>
          <w:szCs w:val="24"/>
        </w:rPr>
        <w:t xml:space="preserve">. Why does </w:t>
      </w:r>
      <w:r w:rsidR="00620915">
        <w:rPr>
          <w:rFonts w:ascii="Times New Roman" w:hAnsi="Times New Roman" w:cs="Times New Roman"/>
          <w:sz w:val="24"/>
          <w:szCs w:val="24"/>
        </w:rPr>
        <w:t>Lucretius do this? T</w:t>
      </w:r>
      <w:r w:rsidR="00DA35B7">
        <w:rPr>
          <w:rFonts w:ascii="Times New Roman" w:hAnsi="Times New Roman" w:cs="Times New Roman"/>
          <w:sz w:val="24"/>
          <w:szCs w:val="24"/>
        </w:rPr>
        <w:t xml:space="preserve">he first few lines have little to do with politics in either a latent or explicit manner, but later Lucretius reveals what might be his point in mentioning Venus: it is she who is able to placate </w:t>
      </w:r>
      <w:proofErr w:type="spellStart"/>
      <w:r w:rsidR="00DA35B7">
        <w:rPr>
          <w:rFonts w:ascii="Times New Roman" w:hAnsi="Times New Roman" w:cs="Times New Roman"/>
          <w:i/>
          <w:sz w:val="24"/>
          <w:szCs w:val="24"/>
        </w:rPr>
        <w:t>armipotens</w:t>
      </w:r>
      <w:proofErr w:type="spellEnd"/>
      <w:r w:rsidR="00DA35B7">
        <w:rPr>
          <w:rFonts w:ascii="Times New Roman" w:hAnsi="Times New Roman" w:cs="Times New Roman"/>
          <w:sz w:val="24"/>
          <w:szCs w:val="24"/>
        </w:rPr>
        <w:t xml:space="preserve"> Mars. Lucretius could not, because of his own philosophical agenda in the </w:t>
      </w:r>
      <w:r w:rsidR="00DA35B7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DA35B7">
        <w:rPr>
          <w:rFonts w:ascii="Times New Roman" w:hAnsi="Times New Roman" w:cs="Times New Roman"/>
          <w:i/>
          <w:sz w:val="24"/>
          <w:szCs w:val="24"/>
        </w:rPr>
        <w:t>Rerum</w:t>
      </w:r>
      <w:proofErr w:type="spellEnd"/>
      <w:r w:rsidR="00DA35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A35B7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="00DA35B7">
        <w:rPr>
          <w:rFonts w:ascii="Times New Roman" w:hAnsi="Times New Roman" w:cs="Times New Roman"/>
          <w:sz w:val="24"/>
          <w:szCs w:val="24"/>
        </w:rPr>
        <w:t>, gloss any political name</w:t>
      </w:r>
      <w:r w:rsidR="006D38FF">
        <w:rPr>
          <w:rFonts w:ascii="Times New Roman" w:hAnsi="Times New Roman" w:cs="Times New Roman"/>
          <w:sz w:val="24"/>
          <w:szCs w:val="24"/>
        </w:rPr>
        <w:t xml:space="preserve">s in his work </w:t>
      </w:r>
      <w:r w:rsidR="006D38FF">
        <w:rPr>
          <w:rFonts w:ascii="Times New Roman" w:hAnsi="Times New Roman" w:cs="Times New Roman"/>
          <w:sz w:val="24"/>
          <w:szCs w:val="24"/>
        </w:rPr>
        <w:lastRenderedPageBreak/>
        <w:t xml:space="preserve">(with the </w:t>
      </w:r>
      <w:r w:rsidR="00DA35B7">
        <w:rPr>
          <w:rFonts w:ascii="Times New Roman" w:hAnsi="Times New Roman" w:cs="Times New Roman"/>
          <w:sz w:val="24"/>
          <w:szCs w:val="24"/>
        </w:rPr>
        <w:t xml:space="preserve">exception of his patron, </w:t>
      </w:r>
      <w:proofErr w:type="spellStart"/>
      <w:r w:rsidR="00DA35B7">
        <w:rPr>
          <w:rFonts w:ascii="Times New Roman" w:hAnsi="Times New Roman" w:cs="Times New Roman"/>
          <w:sz w:val="24"/>
          <w:szCs w:val="24"/>
        </w:rPr>
        <w:t>Memmius</w:t>
      </w:r>
      <w:proofErr w:type="spellEnd"/>
      <w:r w:rsidR="00DA35B7">
        <w:rPr>
          <w:rFonts w:ascii="Times New Roman" w:hAnsi="Times New Roman" w:cs="Times New Roman"/>
          <w:sz w:val="24"/>
          <w:szCs w:val="24"/>
        </w:rPr>
        <w:t>). Lucretius could, however, allusively r</w:t>
      </w:r>
      <w:r w:rsidR="00DD54FC">
        <w:rPr>
          <w:rFonts w:ascii="Times New Roman" w:hAnsi="Times New Roman" w:cs="Times New Roman"/>
          <w:sz w:val="24"/>
          <w:szCs w:val="24"/>
        </w:rPr>
        <w:t>efer to political figures. This act of allusion</w:t>
      </w:r>
      <w:r w:rsidR="00DA35B7">
        <w:rPr>
          <w:rFonts w:ascii="Times New Roman" w:hAnsi="Times New Roman" w:cs="Times New Roman"/>
          <w:sz w:val="24"/>
          <w:szCs w:val="24"/>
        </w:rPr>
        <w:t xml:space="preserve"> leaves room for multiple interpretations</w:t>
      </w:r>
      <w:r w:rsidR="00BE1BF0">
        <w:rPr>
          <w:rFonts w:ascii="Times New Roman" w:hAnsi="Times New Roman" w:cs="Times New Roman"/>
          <w:sz w:val="24"/>
          <w:szCs w:val="24"/>
        </w:rPr>
        <w:t xml:space="preserve"> (e.g. is Venus a metaphor for love rather than a metaphor for two political figures?)</w:t>
      </w:r>
      <w:r w:rsidR="00DD54FC">
        <w:rPr>
          <w:rFonts w:ascii="Times New Roman" w:hAnsi="Times New Roman" w:cs="Times New Roman"/>
          <w:sz w:val="24"/>
          <w:szCs w:val="24"/>
        </w:rPr>
        <w:t>, for an allusion is only a depiction of the real and is not the real itself. In other words, a</w:t>
      </w:r>
      <w:r w:rsidR="00BE1BF0">
        <w:rPr>
          <w:rFonts w:ascii="Times New Roman" w:hAnsi="Times New Roman" w:cs="Times New Roman"/>
          <w:sz w:val="24"/>
          <w:szCs w:val="24"/>
        </w:rPr>
        <w:t>n</w:t>
      </w:r>
      <w:r w:rsidR="00DD54FC">
        <w:rPr>
          <w:rFonts w:ascii="Times New Roman" w:hAnsi="Times New Roman" w:cs="Times New Roman"/>
          <w:sz w:val="24"/>
          <w:szCs w:val="24"/>
        </w:rPr>
        <w:t xml:space="preserve"> allusion</w:t>
      </w:r>
      <w:r w:rsidR="00DA35B7">
        <w:rPr>
          <w:rFonts w:ascii="Times New Roman" w:hAnsi="Times New Roman" w:cs="Times New Roman"/>
          <w:sz w:val="24"/>
          <w:szCs w:val="24"/>
        </w:rPr>
        <w:t>, to the degree that it is allusive, is ambivalent because it conjures many competi</w:t>
      </w:r>
      <w:r w:rsidR="00DD54FC">
        <w:rPr>
          <w:rFonts w:ascii="Times New Roman" w:hAnsi="Times New Roman" w:cs="Times New Roman"/>
          <w:sz w:val="24"/>
          <w:szCs w:val="24"/>
        </w:rPr>
        <w:t>ng poetic realities</w:t>
      </w:r>
      <w:r w:rsidR="00DA35B7">
        <w:rPr>
          <w:rFonts w:ascii="Times New Roman" w:hAnsi="Times New Roman" w:cs="Times New Roman"/>
          <w:sz w:val="24"/>
          <w:szCs w:val="24"/>
        </w:rPr>
        <w:t>.</w:t>
      </w:r>
    </w:p>
    <w:p w:rsidR="00910123" w:rsidRDefault="00DD54FC" w:rsidP="0065538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Vergil employs a variation of</w:t>
      </w:r>
      <w:r w:rsidR="00444887">
        <w:rPr>
          <w:rFonts w:ascii="Times New Roman" w:hAnsi="Times New Roman" w:cs="Times New Roman"/>
          <w:sz w:val="24"/>
          <w:szCs w:val="24"/>
        </w:rPr>
        <w:t xml:space="preserve"> the allusive, </w:t>
      </w:r>
      <w:proofErr w:type="spellStart"/>
      <w:r w:rsidR="00444887">
        <w:rPr>
          <w:rFonts w:ascii="Times New Roman" w:hAnsi="Times New Roman" w:cs="Times New Roman"/>
          <w:i/>
          <w:sz w:val="24"/>
          <w:szCs w:val="24"/>
        </w:rPr>
        <w:t>ataraxia</w:t>
      </w:r>
      <w:proofErr w:type="spellEnd"/>
      <w:r w:rsidR="00444887">
        <w:rPr>
          <w:rFonts w:ascii="Times New Roman" w:hAnsi="Times New Roman" w:cs="Times New Roman"/>
          <w:sz w:val="24"/>
          <w:szCs w:val="24"/>
        </w:rPr>
        <w:t xml:space="preserve">-based ambivalence of Lucretius. It is striking that Vergil begins his epic with </w:t>
      </w:r>
      <w:proofErr w:type="spellStart"/>
      <w:r w:rsidR="00444887">
        <w:rPr>
          <w:rFonts w:ascii="Times New Roman" w:hAnsi="Times New Roman" w:cs="Times New Roman"/>
          <w:i/>
          <w:sz w:val="24"/>
          <w:szCs w:val="24"/>
        </w:rPr>
        <w:t>arma</w:t>
      </w:r>
      <w:proofErr w:type="spellEnd"/>
      <w:r w:rsidR="00444887">
        <w:rPr>
          <w:rFonts w:ascii="Times New Roman" w:hAnsi="Times New Roman" w:cs="Times New Roman"/>
          <w:sz w:val="24"/>
          <w:szCs w:val="24"/>
        </w:rPr>
        <w:t xml:space="preserve"> rather than </w:t>
      </w:r>
      <w:proofErr w:type="spellStart"/>
      <w:r w:rsidR="00444887">
        <w:rPr>
          <w:rFonts w:ascii="Times New Roman" w:hAnsi="Times New Roman" w:cs="Times New Roman"/>
          <w:i/>
          <w:sz w:val="24"/>
          <w:szCs w:val="24"/>
        </w:rPr>
        <w:t>virum</w:t>
      </w:r>
      <w:proofErr w:type="spellEnd"/>
      <w:r w:rsidR="00444887">
        <w:rPr>
          <w:rFonts w:ascii="Times New Roman" w:hAnsi="Times New Roman" w:cs="Times New Roman"/>
          <w:sz w:val="24"/>
          <w:szCs w:val="24"/>
        </w:rPr>
        <w:t>: this seems out of narrative order since the “</w:t>
      </w:r>
      <w:r w:rsidR="00444887">
        <w:rPr>
          <w:rFonts w:ascii="Times New Roman" w:hAnsi="Times New Roman" w:cs="Times New Roman"/>
          <w:i/>
          <w:sz w:val="24"/>
          <w:szCs w:val="24"/>
        </w:rPr>
        <w:t>Odyssey</w:t>
      </w:r>
      <w:r w:rsidR="00444887">
        <w:rPr>
          <w:rFonts w:ascii="Times New Roman" w:hAnsi="Times New Roman" w:cs="Times New Roman"/>
          <w:sz w:val="24"/>
          <w:szCs w:val="24"/>
        </w:rPr>
        <w:t xml:space="preserve">” half of the </w:t>
      </w:r>
      <w:proofErr w:type="spellStart"/>
      <w:r w:rsidR="00444887">
        <w:rPr>
          <w:rFonts w:ascii="Times New Roman" w:hAnsi="Times New Roman" w:cs="Times New Roman"/>
          <w:i/>
          <w:sz w:val="24"/>
          <w:szCs w:val="24"/>
        </w:rPr>
        <w:t>Aeneid</w:t>
      </w:r>
      <w:proofErr w:type="spellEnd"/>
      <w:r w:rsidR="00444887">
        <w:rPr>
          <w:rFonts w:ascii="Times New Roman" w:hAnsi="Times New Roman" w:cs="Times New Roman"/>
          <w:sz w:val="24"/>
          <w:szCs w:val="24"/>
        </w:rPr>
        <w:t xml:space="preserve"> comes first. Why is primary position granted to warfare? Is warfare the more generic topic of epic? Or might Vergil on some level, whether consciously or unconsciously</w:t>
      </w:r>
      <w:r>
        <w:rPr>
          <w:rFonts w:ascii="Times New Roman" w:hAnsi="Times New Roman" w:cs="Times New Roman"/>
          <w:sz w:val="24"/>
          <w:szCs w:val="24"/>
        </w:rPr>
        <w:t xml:space="preserve"> is inconsequential</w:t>
      </w:r>
      <w:r w:rsidR="00444887">
        <w:rPr>
          <w:rFonts w:ascii="Times New Roman" w:hAnsi="Times New Roman" w:cs="Times New Roman"/>
          <w:sz w:val="24"/>
          <w:szCs w:val="24"/>
        </w:rPr>
        <w:t xml:space="preserve">, be alluding to the first use of the word </w:t>
      </w:r>
      <w:proofErr w:type="spellStart"/>
      <w:r w:rsidR="00444887">
        <w:rPr>
          <w:rFonts w:ascii="Times New Roman" w:hAnsi="Times New Roman" w:cs="Times New Roman"/>
          <w:i/>
          <w:sz w:val="24"/>
          <w:szCs w:val="24"/>
        </w:rPr>
        <w:t>armum</w:t>
      </w:r>
      <w:proofErr w:type="spellEnd"/>
      <w:r w:rsidR="00444887">
        <w:rPr>
          <w:rFonts w:ascii="Times New Roman" w:hAnsi="Times New Roman" w:cs="Times New Roman"/>
          <w:sz w:val="24"/>
          <w:szCs w:val="24"/>
        </w:rPr>
        <w:t xml:space="preserve"> in the </w:t>
      </w:r>
      <w:r w:rsidR="00444887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444887">
        <w:rPr>
          <w:rFonts w:ascii="Times New Roman" w:hAnsi="Times New Roman" w:cs="Times New Roman"/>
          <w:i/>
          <w:sz w:val="24"/>
          <w:szCs w:val="24"/>
        </w:rPr>
        <w:t>Rerum</w:t>
      </w:r>
      <w:proofErr w:type="spellEnd"/>
      <w:r w:rsidR="004448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4887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="00910123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910123">
        <w:rPr>
          <w:rFonts w:ascii="Times New Roman" w:hAnsi="Times New Roman" w:cs="Times New Roman"/>
          <w:sz w:val="24"/>
          <w:szCs w:val="24"/>
        </w:rPr>
        <w:t>If the latter,</w:t>
      </w:r>
      <w:r>
        <w:rPr>
          <w:rFonts w:ascii="Times New Roman" w:hAnsi="Times New Roman" w:cs="Times New Roman"/>
          <w:sz w:val="24"/>
          <w:szCs w:val="24"/>
        </w:rPr>
        <w:t xml:space="preserve"> then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Lucretian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gives an ambivalent tone to the first line of Vergil’s epic.</w:t>
      </w:r>
      <w:proofErr w:type="gramEnd"/>
    </w:p>
    <w:p w:rsidR="00910123" w:rsidRDefault="00910123" w:rsidP="00655382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paper will try to engage what is by now the somewhat exhausted topic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Vergilian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interpretation. This paper does not </w:t>
      </w:r>
      <w:r w:rsidR="00620915">
        <w:rPr>
          <w:rFonts w:ascii="Times New Roman" w:hAnsi="Times New Roman" w:cs="Times New Roman"/>
          <w:sz w:val="24"/>
          <w:szCs w:val="24"/>
        </w:rPr>
        <w:t>hope to answer the question of intent</w:t>
      </w:r>
      <w:r>
        <w:rPr>
          <w:rFonts w:ascii="Times New Roman" w:hAnsi="Times New Roman" w:cs="Times New Roman"/>
          <w:sz w:val="24"/>
          <w:szCs w:val="24"/>
        </w:rPr>
        <w:t>; interp</w:t>
      </w:r>
      <w:r w:rsidR="00DD54FC">
        <w:rPr>
          <w:rFonts w:ascii="Times New Roman" w:hAnsi="Times New Roman" w:cs="Times New Roman"/>
          <w:sz w:val="24"/>
          <w:szCs w:val="24"/>
        </w:rPr>
        <w:t>retation of authorial intent is</w:t>
      </w:r>
      <w:r>
        <w:rPr>
          <w:rFonts w:ascii="Times New Roman" w:hAnsi="Times New Roman" w:cs="Times New Roman"/>
          <w:sz w:val="24"/>
          <w:szCs w:val="24"/>
        </w:rPr>
        <w:t xml:space="preserve"> extremely difficult because those intentions are completely irretrievable in most cases. However, 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intertextual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reading of V</w:t>
      </w:r>
      <w:r w:rsidR="00620915">
        <w:rPr>
          <w:rFonts w:ascii="Times New Roman" w:hAnsi="Times New Roman" w:cs="Times New Roman"/>
          <w:sz w:val="24"/>
          <w:szCs w:val="24"/>
        </w:rPr>
        <w:t xml:space="preserve">ergil via </w:t>
      </w:r>
      <w:proofErr w:type="spellStart"/>
      <w:r w:rsidR="00620915">
        <w:rPr>
          <w:rFonts w:ascii="Times New Roman" w:hAnsi="Times New Roman" w:cs="Times New Roman"/>
          <w:sz w:val="24"/>
          <w:szCs w:val="24"/>
        </w:rPr>
        <w:t>Lucretian</w:t>
      </w:r>
      <w:proofErr w:type="spellEnd"/>
      <w:r w:rsidR="00620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ataraxia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lead us to new insights into the ambivalence of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Aeneid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0123" w:rsidRDefault="00910123" w:rsidP="00910123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10123" w:rsidRDefault="00910123" w:rsidP="00910123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10123" w:rsidRDefault="00910123" w:rsidP="00910123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10123" w:rsidRDefault="00910123" w:rsidP="00910123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10123" w:rsidRDefault="00910123" w:rsidP="00910123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205B" w:rsidRDefault="00FB205B" w:rsidP="00FB205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0123" w:rsidRDefault="00910123" w:rsidP="00FB205B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910123" w:rsidRPr="007C3AD8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Frederick. </w:t>
      </w:r>
      <w:proofErr w:type="gramStart"/>
      <w:r>
        <w:rPr>
          <w:rFonts w:ascii="Times New Roman" w:hAnsi="Times New Roman" w:cs="Times New Roman"/>
          <w:sz w:val="24"/>
          <w:szCs w:val="24"/>
        </w:rPr>
        <w:t>“The Art of Safe Criticism in Greece and Rome.”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AJP</w:t>
      </w:r>
      <w:r>
        <w:rPr>
          <w:rFonts w:ascii="Times New Roman" w:hAnsi="Times New Roman" w:cs="Times New Roman"/>
          <w:sz w:val="24"/>
          <w:szCs w:val="24"/>
        </w:rPr>
        <w:t xml:space="preserve"> 105.2 (1984): 174-208.</w:t>
      </w: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Austin, R.G.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Aeneidos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Liber Primus</w:t>
      </w:r>
      <w:r>
        <w:rPr>
          <w:rFonts w:ascii="Times New Roman" w:hAnsi="Times New Roman" w:cs="Times New Roman"/>
          <w:sz w:val="24"/>
          <w:szCs w:val="24"/>
        </w:rPr>
        <w:t>. Oxford: Oxford University Press. 1971.</w:t>
      </w: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Ideology in Cold Blood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Cambridge: Harvard University Press. 1997.</w:t>
      </w:r>
    </w:p>
    <w:p w:rsidR="00A24D1B" w:rsidRDefault="00A24D1B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4D1B" w:rsidRPr="00A24D1B" w:rsidRDefault="00A24D1B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Conte,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Biagio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The Rhetoric of Imitation: Genre and Poetic Memory in Virgil and Other </w:t>
      </w:r>
      <w:r>
        <w:rPr>
          <w:rFonts w:ascii="Times New Roman" w:hAnsi="Times New Roman" w:cs="Times New Roman"/>
          <w:i/>
          <w:sz w:val="24"/>
          <w:szCs w:val="24"/>
        </w:rPr>
        <w:tab/>
        <w:t>Latin Poets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Edited by Charles Segal.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Ithaca: Cornell University Press. 1986.</w:t>
      </w: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0123" w:rsidRPr="00E8405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Dyson, Julia T.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Fluctus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Irarum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Fluctus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Curarum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Lucretian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53">
        <w:rPr>
          <w:rFonts w:ascii="Times New Roman" w:hAnsi="Times New Roman" w:cs="Times New Roman"/>
          <w:i/>
          <w:sz w:val="24"/>
          <w:szCs w:val="24"/>
        </w:rPr>
        <w:t>Religio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Aeneid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 </w:t>
      </w:r>
      <w:r>
        <w:rPr>
          <w:rFonts w:ascii="Times New Roman" w:hAnsi="Times New Roman" w:cs="Times New Roman"/>
          <w:i/>
          <w:sz w:val="24"/>
          <w:szCs w:val="24"/>
        </w:rPr>
        <w:t>AJP</w:t>
      </w:r>
      <w:r>
        <w:rPr>
          <w:rFonts w:ascii="Times New Roman" w:hAnsi="Times New Roman" w:cs="Times New Roman"/>
          <w:sz w:val="24"/>
          <w:szCs w:val="24"/>
        </w:rPr>
        <w:t xml:space="preserve"> 118.3 </w:t>
      </w:r>
      <w:r>
        <w:rPr>
          <w:rFonts w:ascii="Times New Roman" w:hAnsi="Times New Roman" w:cs="Times New Roman"/>
          <w:sz w:val="24"/>
          <w:szCs w:val="24"/>
        </w:rPr>
        <w:tab/>
        <w:t>(1997): 449-57.</w:t>
      </w: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Edgeworth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Robert Joseph.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“The silence of Vergil and the end of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Aeneid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Vergilius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 </w:t>
      </w:r>
      <w:r>
        <w:rPr>
          <w:rFonts w:ascii="Times New Roman" w:hAnsi="Times New Roman" w:cs="Times New Roman"/>
          <w:sz w:val="24"/>
          <w:szCs w:val="24"/>
        </w:rPr>
        <w:tab/>
        <w:t>(2005): 3-11.</w:t>
      </w: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0123" w:rsidRPr="00472ED4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Fowler, D.P. “Lucretius and Politics”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Philosophia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Togata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Essays on Philosophy and Roman </w:t>
      </w:r>
      <w:r>
        <w:rPr>
          <w:rFonts w:ascii="Times New Roman" w:hAnsi="Times New Roman" w:cs="Times New Roman"/>
          <w:i/>
          <w:sz w:val="24"/>
          <w:szCs w:val="24"/>
        </w:rPr>
        <w:tab/>
        <w:t>Society</w:t>
      </w:r>
      <w:r>
        <w:rPr>
          <w:rFonts w:ascii="Times New Roman" w:hAnsi="Times New Roman" w:cs="Times New Roman"/>
          <w:sz w:val="24"/>
          <w:szCs w:val="24"/>
        </w:rPr>
        <w:t>. Barnes, J. and Griffin, M.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). Oxford: </w:t>
      </w:r>
      <w:proofErr w:type="spellStart"/>
      <w:r>
        <w:rPr>
          <w:rFonts w:ascii="Times New Roman" w:hAnsi="Times New Roman" w:cs="Times New Roman"/>
          <w:sz w:val="24"/>
          <w:szCs w:val="24"/>
        </w:rPr>
        <w:t>Oxfrod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Press. 1989: 120-50.</w:t>
      </w: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Grebe, Sabine.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“Augustus’ Divine Authority and Vergil’s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Aeneid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Vergilius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(2004): 35-62.</w:t>
      </w:r>
    </w:p>
    <w:p w:rsidR="00A24D1B" w:rsidRDefault="00A24D1B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4D1B" w:rsidRPr="00A24D1B" w:rsidRDefault="00A24D1B" w:rsidP="00A24D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Hinds, Stephen. </w:t>
      </w:r>
      <w:r w:rsidRPr="00A24D1B">
        <w:rPr>
          <w:rFonts w:ascii="Times New Roman" w:hAnsi="Times New Roman" w:cs="Times New Roman"/>
          <w:i/>
          <w:sz w:val="24"/>
          <w:szCs w:val="24"/>
        </w:rPr>
        <w:t xml:space="preserve">Allusion and </w:t>
      </w:r>
      <w:proofErr w:type="spellStart"/>
      <w:r w:rsidRPr="00A24D1B">
        <w:rPr>
          <w:rFonts w:ascii="Times New Roman" w:hAnsi="Times New Roman" w:cs="Times New Roman"/>
          <w:i/>
          <w:sz w:val="24"/>
          <w:szCs w:val="24"/>
        </w:rPr>
        <w:t>intertext</w:t>
      </w:r>
      <w:proofErr w:type="spellEnd"/>
      <w:r w:rsidRPr="00A24D1B">
        <w:rPr>
          <w:rFonts w:ascii="Times New Roman" w:hAnsi="Times New Roman" w:cs="Times New Roman"/>
          <w:i/>
          <w:sz w:val="24"/>
          <w:szCs w:val="24"/>
        </w:rPr>
        <w:t>: Dynamics of appropriation in Roman poetry</w:t>
      </w:r>
      <w:r w:rsidRPr="00A24D1B">
        <w:rPr>
          <w:rFonts w:ascii="Times New Roman" w:hAnsi="Times New Roman" w:cs="Times New Roman"/>
          <w:sz w:val="24"/>
          <w:szCs w:val="24"/>
        </w:rPr>
        <w:t xml:space="preserve">. Cambridge: </w:t>
      </w:r>
    </w:p>
    <w:p w:rsidR="00A24D1B" w:rsidRPr="00065ED0" w:rsidRDefault="00A24D1B" w:rsidP="00A24D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4D1B">
        <w:rPr>
          <w:rFonts w:ascii="Times New Roman" w:hAnsi="Times New Roman" w:cs="Times New Roman"/>
          <w:sz w:val="24"/>
          <w:szCs w:val="24"/>
        </w:rPr>
        <w:t>Cambridge University Press.</w:t>
      </w:r>
      <w:proofErr w:type="gramEnd"/>
      <w:r w:rsidRPr="00A24D1B">
        <w:rPr>
          <w:rFonts w:ascii="Times New Roman" w:hAnsi="Times New Roman" w:cs="Times New Roman"/>
          <w:sz w:val="24"/>
          <w:szCs w:val="24"/>
        </w:rPr>
        <w:t xml:space="preserve"> 1998.</w:t>
      </w: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0123" w:rsidRPr="00C144A4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Leonard, William Ellery; Smith, Stanley Barney.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Lucreti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7C5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007C5B">
        <w:rPr>
          <w:rFonts w:ascii="Times New Roman" w:hAnsi="Times New Roman" w:cs="Times New Roman"/>
          <w:i/>
          <w:sz w:val="24"/>
          <w:szCs w:val="24"/>
        </w:rPr>
        <w:t>Rerum</w:t>
      </w:r>
      <w:proofErr w:type="spellEnd"/>
      <w:r w:rsidRPr="00007C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C5B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Madison: </w:t>
      </w:r>
      <w:r>
        <w:rPr>
          <w:rFonts w:ascii="Times New Roman" w:hAnsi="Times New Roman" w:cs="Times New Roman"/>
          <w:sz w:val="24"/>
          <w:szCs w:val="24"/>
        </w:rPr>
        <w:tab/>
        <w:t>University of Wisconsin Press. 1942.</w:t>
      </w: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Putnam, M.C.J.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The Poetry of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Aeneid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Cambridge: Harvard University Press. 1966.</w:t>
      </w: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Stahl, Hans-Peter.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“Aeneas—an ‘</w:t>
      </w:r>
      <w:proofErr w:type="spellStart"/>
      <w:r>
        <w:rPr>
          <w:rFonts w:ascii="Times New Roman" w:hAnsi="Times New Roman" w:cs="Times New Roman"/>
          <w:sz w:val="24"/>
          <w:szCs w:val="24"/>
        </w:rPr>
        <w:t>Unheroic</w:t>
      </w:r>
      <w:proofErr w:type="spellEnd"/>
      <w:r>
        <w:rPr>
          <w:rFonts w:ascii="Times New Roman" w:hAnsi="Times New Roman" w:cs="Times New Roman"/>
          <w:sz w:val="24"/>
          <w:szCs w:val="24"/>
        </w:rPr>
        <w:t>” Hero?”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Arethusa</w:t>
      </w:r>
      <w:r>
        <w:rPr>
          <w:rFonts w:ascii="Times New Roman" w:hAnsi="Times New Roman" w:cs="Times New Roman"/>
          <w:sz w:val="24"/>
          <w:szCs w:val="24"/>
        </w:rPr>
        <w:t xml:space="preserve"> 14.1 (1981): 157-77.</w:t>
      </w:r>
    </w:p>
    <w:p w:rsidR="00910123" w:rsidRDefault="00910123" w:rsidP="009101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0123" w:rsidRPr="00910123" w:rsidRDefault="00910123" w:rsidP="0091012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Thomas, Richard F. “Tree Violation and Ambivalence in Virgil.” </w:t>
      </w:r>
      <w:r>
        <w:rPr>
          <w:rFonts w:ascii="Times New Roman" w:hAnsi="Times New Roman" w:cs="Times New Roman"/>
          <w:i/>
          <w:sz w:val="24"/>
          <w:szCs w:val="24"/>
        </w:rPr>
        <w:t>TAPA</w:t>
      </w:r>
      <w:r>
        <w:rPr>
          <w:rFonts w:ascii="Times New Roman" w:hAnsi="Times New Roman" w:cs="Times New Roman"/>
          <w:sz w:val="24"/>
          <w:szCs w:val="24"/>
        </w:rPr>
        <w:t xml:space="preserve"> 118 (1988): 261-73.</w:t>
      </w:r>
    </w:p>
    <w:sectPr w:rsidR="00910123" w:rsidRPr="00910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9B" w:rsidRDefault="00D56E9B" w:rsidP="00655382">
      <w:pPr>
        <w:spacing w:after="0" w:line="240" w:lineRule="auto"/>
      </w:pPr>
      <w:r>
        <w:separator/>
      </w:r>
    </w:p>
  </w:endnote>
  <w:endnote w:type="continuationSeparator" w:id="0">
    <w:p w:rsidR="00D56E9B" w:rsidRDefault="00D56E9B" w:rsidP="0065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9B" w:rsidRDefault="00D56E9B" w:rsidP="00655382">
      <w:pPr>
        <w:spacing w:after="0" w:line="240" w:lineRule="auto"/>
      </w:pPr>
      <w:r>
        <w:separator/>
      </w:r>
    </w:p>
  </w:footnote>
  <w:footnote w:type="continuationSeparator" w:id="0">
    <w:p w:rsidR="00D56E9B" w:rsidRDefault="00D56E9B" w:rsidP="00655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82"/>
    <w:rsid w:val="00112E46"/>
    <w:rsid w:val="00372E5A"/>
    <w:rsid w:val="00397F42"/>
    <w:rsid w:val="00444887"/>
    <w:rsid w:val="00620915"/>
    <w:rsid w:val="00634565"/>
    <w:rsid w:val="00655382"/>
    <w:rsid w:val="006D38FF"/>
    <w:rsid w:val="008F4D8B"/>
    <w:rsid w:val="00910123"/>
    <w:rsid w:val="00A24D1B"/>
    <w:rsid w:val="00A307E3"/>
    <w:rsid w:val="00AA1355"/>
    <w:rsid w:val="00BE1BF0"/>
    <w:rsid w:val="00C409D0"/>
    <w:rsid w:val="00D56E9B"/>
    <w:rsid w:val="00DA35B7"/>
    <w:rsid w:val="00DD54FC"/>
    <w:rsid w:val="00E7505F"/>
    <w:rsid w:val="00FB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553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3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53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553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3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53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96D6-D615-4E10-AAA3-CBB536BC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3544BB9A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2011-09-25T19:58:00Z</dcterms:created>
  <dcterms:modified xsi:type="dcterms:W3CDTF">2011-09-25T19:58:00Z</dcterms:modified>
</cp:coreProperties>
</file>