
<file path=[Content_Types].xml><?xml version="1.0" encoding="utf-8"?>
<Types xmlns="http://schemas.openxmlformats.org/package/2006/content-types">
  <Override PartName="/word/stylesWithEffects.xml" ContentType="application/vnd.ms-word.stylesWithEffects+xml"/>
  <Override PartName="/docProps/core.xml" ContentType="application/vnd.openxmlformats-package.core-properties+xml"/>
  <Override PartName="/word/settings.xml" ContentType="application/vnd.openxmlformats-officedocument.wordprocessingml.settings+xml"/>
  <Default Extension="xml" ContentType="application/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word/fontTable.xml" ContentType="application/vnd.openxmlformats-officedocument.wordprocessingml.fontTable+xml"/>
  <Default Extension="rels" ContentType="application/vnd.openxmlformats-package.relationship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endnotes.xml" ContentType="application/vnd.openxmlformats-officedocument.wordprocessingml.endnotes+xml"/>
</Types>
</file>

<file path=_rels/.rels><?xml version="1.0" encoding="UTF-8" standalone="yes"?>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3EFD" w:rsidRDefault="001511E1" w:rsidP="00A12771">
      <w:pPr>
        <w:jc w:val="center"/>
        <w:rPr>
          <w:rFonts w:ascii="Times New Roman" w:hAnsi="Times New Roman" w:cs="Times New Roman"/>
          <w:sz w:val="24"/>
          <w:szCs w:val="24"/>
        </w:rPr>
      </w:pPr>
      <w:r w:rsidRPr="00DC7BE2">
        <w:rPr>
          <w:rFonts w:ascii="Times New Roman" w:hAnsi="Times New Roman" w:cs="Times New Roman"/>
          <w:sz w:val="24"/>
          <w:szCs w:val="24"/>
        </w:rPr>
        <w:t xml:space="preserve">Boxes in Boxes: </w:t>
      </w:r>
      <w:r w:rsidR="00D411CC" w:rsidRPr="00DC7BE2">
        <w:rPr>
          <w:rFonts w:ascii="Times New Roman" w:hAnsi="Times New Roman" w:cs="Times New Roman"/>
          <w:sz w:val="24"/>
          <w:szCs w:val="24"/>
        </w:rPr>
        <w:t xml:space="preserve">The </w:t>
      </w:r>
      <w:r w:rsidR="00D411CC" w:rsidRPr="00DC7BE2">
        <w:rPr>
          <w:rFonts w:ascii="Times New Roman" w:hAnsi="Times New Roman" w:cs="Times New Roman"/>
          <w:i/>
          <w:sz w:val="24"/>
          <w:szCs w:val="24"/>
        </w:rPr>
        <w:t>Penus</w:t>
      </w:r>
      <w:r w:rsidR="00D411CC" w:rsidRPr="00DC7BE2">
        <w:rPr>
          <w:rFonts w:ascii="Times New Roman" w:hAnsi="Times New Roman" w:cs="Times New Roman"/>
          <w:sz w:val="24"/>
          <w:szCs w:val="24"/>
        </w:rPr>
        <w:t xml:space="preserve"> Chapter of Aulus Gellius</w:t>
      </w:r>
      <w:r w:rsidRPr="00DC7BE2">
        <w:rPr>
          <w:rFonts w:ascii="Times New Roman" w:hAnsi="Times New Roman" w:cs="Times New Roman"/>
          <w:sz w:val="24"/>
          <w:szCs w:val="24"/>
        </w:rPr>
        <w:t xml:space="preserve"> in its Context</w:t>
      </w:r>
    </w:p>
    <w:p w:rsidR="00583F5A" w:rsidRPr="00DC7BE2" w:rsidRDefault="00583F5A" w:rsidP="00A1277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12771" w:rsidRDefault="00A12771" w:rsidP="00A12771">
      <w:pPr>
        <w:spacing w:line="48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This paper will be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a reading of the first chapter of Book 4 of Aulus Gellius’s </w:t>
      </w:r>
      <w:r>
        <w:rPr>
          <w:rFonts w:ascii="Times New Roman" w:hAnsi="Times New Roman" w:cs="Times New Roman"/>
          <w:i/>
          <w:sz w:val="24"/>
          <w:szCs w:val="24"/>
        </w:rPr>
        <w:t>Noctes Atticae</w:t>
      </w:r>
      <w:r>
        <w:rPr>
          <w:rFonts w:ascii="Times New Roman" w:hAnsi="Times New Roman" w:cs="Times New Roman"/>
          <w:sz w:val="24"/>
          <w:szCs w:val="24"/>
        </w:rPr>
        <w:t xml:space="preserve">, in which Gellius stages a debate between the sophist Favorinus and an unnamed </w:t>
      </w:r>
      <w:r>
        <w:rPr>
          <w:rFonts w:ascii="Times New Roman" w:hAnsi="Times New Roman" w:cs="Times New Roman"/>
          <w:i/>
          <w:sz w:val="24"/>
          <w:szCs w:val="24"/>
        </w:rPr>
        <w:t>grammaticus</w:t>
      </w:r>
      <w:r>
        <w:rPr>
          <w:rFonts w:ascii="Times New Roman" w:hAnsi="Times New Roman" w:cs="Times New Roman"/>
          <w:sz w:val="24"/>
          <w:szCs w:val="24"/>
        </w:rPr>
        <w:t xml:space="preserve"> on the meaning of the word </w:t>
      </w:r>
      <w:r>
        <w:rPr>
          <w:rFonts w:ascii="Times New Roman" w:hAnsi="Times New Roman" w:cs="Times New Roman"/>
          <w:i/>
          <w:sz w:val="24"/>
          <w:szCs w:val="24"/>
        </w:rPr>
        <w:t>penus</w:t>
      </w:r>
      <w:r>
        <w:rPr>
          <w:rFonts w:ascii="Times New Roman" w:hAnsi="Times New Roman" w:cs="Times New Roman"/>
          <w:sz w:val="24"/>
          <w:szCs w:val="24"/>
        </w:rPr>
        <w:t xml:space="preserve"> (a storehouse). </w:t>
      </w:r>
      <w:r w:rsidR="002E5AC3">
        <w:rPr>
          <w:rFonts w:ascii="Times New Roman" w:hAnsi="Times New Roman" w:cs="Times New Roman"/>
          <w:sz w:val="24"/>
          <w:szCs w:val="24"/>
        </w:rPr>
        <w:t xml:space="preserve">Both Erik Gunderson (2009) and Wytse Keulen (2009) have treated this chapter in their books on Gellius, and both have treated it from the perspective of </w:t>
      </w:r>
      <w:r w:rsidR="002E5AC3">
        <w:rPr>
          <w:rFonts w:ascii="Times New Roman" w:hAnsi="Times New Roman" w:cs="Times New Roman"/>
          <w:i/>
          <w:sz w:val="24"/>
          <w:szCs w:val="24"/>
        </w:rPr>
        <w:t>auctoritas</w:t>
      </w:r>
      <w:r w:rsidR="002E5AC3">
        <w:rPr>
          <w:rFonts w:ascii="Times New Roman" w:hAnsi="Times New Roman" w:cs="Times New Roman"/>
          <w:sz w:val="24"/>
          <w:szCs w:val="24"/>
        </w:rPr>
        <w:t xml:space="preserve">. Indeed, the chapter invites such a reading with its setting at the </w:t>
      </w:r>
      <w:r w:rsidR="008416FA">
        <w:rPr>
          <w:rFonts w:ascii="Times New Roman" w:hAnsi="Times New Roman" w:cs="Times New Roman"/>
          <w:sz w:val="24"/>
          <w:szCs w:val="24"/>
        </w:rPr>
        <w:t xml:space="preserve">vestibule </w:t>
      </w:r>
      <w:r w:rsidR="000B3A6D">
        <w:rPr>
          <w:rFonts w:ascii="Times New Roman" w:hAnsi="Times New Roman" w:cs="Times New Roman"/>
          <w:sz w:val="24"/>
          <w:szCs w:val="24"/>
        </w:rPr>
        <w:t>of</w:t>
      </w:r>
      <w:r w:rsidR="008416FA">
        <w:rPr>
          <w:rFonts w:ascii="Times New Roman" w:hAnsi="Times New Roman" w:cs="Times New Roman"/>
          <w:sz w:val="24"/>
          <w:szCs w:val="24"/>
        </w:rPr>
        <w:t xml:space="preserve"> the Palatine temple as a crowd of learned men await the emperor’s </w:t>
      </w:r>
      <w:r w:rsidR="008416FA">
        <w:rPr>
          <w:rFonts w:ascii="Times New Roman" w:hAnsi="Times New Roman" w:cs="Times New Roman"/>
          <w:i/>
          <w:sz w:val="24"/>
          <w:szCs w:val="24"/>
        </w:rPr>
        <w:t>salutatio</w:t>
      </w:r>
      <w:r w:rsidR="008416FA">
        <w:rPr>
          <w:rFonts w:ascii="Times New Roman" w:hAnsi="Times New Roman" w:cs="Times New Roman"/>
          <w:sz w:val="24"/>
          <w:szCs w:val="24"/>
        </w:rPr>
        <w:t xml:space="preserve">. </w:t>
      </w:r>
      <w:r w:rsidR="000B3A6D">
        <w:rPr>
          <w:rFonts w:ascii="Times New Roman" w:hAnsi="Times New Roman" w:cs="Times New Roman"/>
          <w:sz w:val="24"/>
          <w:szCs w:val="24"/>
        </w:rPr>
        <w:t xml:space="preserve">I will offer a reading from a different perspective, inspired on a larger scale by a sequential reading of the </w:t>
      </w:r>
      <w:r w:rsidR="000B3A6D">
        <w:rPr>
          <w:rFonts w:ascii="Times New Roman" w:hAnsi="Times New Roman" w:cs="Times New Roman"/>
          <w:i/>
          <w:sz w:val="24"/>
          <w:szCs w:val="24"/>
        </w:rPr>
        <w:t>Noctes Atticae</w:t>
      </w:r>
      <w:r w:rsidR="000B3A6D">
        <w:rPr>
          <w:rFonts w:ascii="Times New Roman" w:hAnsi="Times New Roman" w:cs="Times New Roman"/>
          <w:sz w:val="24"/>
          <w:szCs w:val="24"/>
        </w:rPr>
        <w:t xml:space="preserve">. </w:t>
      </w:r>
      <w:r w:rsidR="00966D48">
        <w:rPr>
          <w:rFonts w:ascii="Times New Roman" w:hAnsi="Times New Roman" w:cs="Times New Roman"/>
          <w:sz w:val="24"/>
          <w:szCs w:val="24"/>
        </w:rPr>
        <w:t>My primary focus will be on chapter 4.1 in terms of the</w:t>
      </w:r>
      <w:r w:rsidR="006E5EA5">
        <w:rPr>
          <w:rFonts w:ascii="Times New Roman" w:hAnsi="Times New Roman" w:cs="Times New Roman"/>
          <w:sz w:val="24"/>
          <w:szCs w:val="24"/>
        </w:rPr>
        <w:t xml:space="preserve"> </w:t>
      </w:r>
      <w:r w:rsidR="006E5EA5">
        <w:rPr>
          <w:rFonts w:ascii="Times New Roman" w:hAnsi="Times New Roman" w:cs="Times New Roman"/>
          <w:i/>
          <w:sz w:val="24"/>
          <w:szCs w:val="24"/>
        </w:rPr>
        <w:t>NA</w:t>
      </w:r>
      <w:r w:rsidR="006E5EA5">
        <w:rPr>
          <w:rFonts w:ascii="Times New Roman" w:hAnsi="Times New Roman" w:cs="Times New Roman"/>
          <w:sz w:val="24"/>
          <w:szCs w:val="24"/>
        </w:rPr>
        <w:t>’s</w:t>
      </w:r>
      <w:r w:rsidR="00966D48">
        <w:rPr>
          <w:rFonts w:ascii="Times New Roman" w:hAnsi="Times New Roman" w:cs="Times New Roman"/>
          <w:sz w:val="24"/>
          <w:szCs w:val="24"/>
        </w:rPr>
        <w:t xml:space="preserve"> Preface: how it echoes some of the things mentioned and promised there (e.g., the </w:t>
      </w:r>
      <w:r w:rsidR="00966D48">
        <w:rPr>
          <w:rFonts w:ascii="Times New Roman" w:hAnsi="Times New Roman" w:cs="Times New Roman"/>
          <w:i/>
          <w:sz w:val="24"/>
          <w:szCs w:val="24"/>
        </w:rPr>
        <w:t>penus</w:t>
      </w:r>
      <w:r w:rsidR="00966D48">
        <w:rPr>
          <w:rFonts w:ascii="Times New Roman" w:hAnsi="Times New Roman" w:cs="Times New Roman"/>
          <w:sz w:val="24"/>
          <w:szCs w:val="24"/>
        </w:rPr>
        <w:t xml:space="preserve"> metaphor, the time and location of intellectual activity, the bounds of proper intellectual activity). </w:t>
      </w:r>
    </w:p>
    <w:p w:rsidR="0002250C" w:rsidRDefault="0002250C" w:rsidP="00A12771">
      <w:pPr>
        <w:spacing w:line="48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The character of the arrogant but insufficiently learned </w:t>
      </w:r>
      <w:r>
        <w:rPr>
          <w:rFonts w:ascii="Times New Roman" w:hAnsi="Times New Roman" w:cs="Times New Roman"/>
          <w:i/>
          <w:sz w:val="24"/>
          <w:szCs w:val="24"/>
        </w:rPr>
        <w:t>grammaticus</w:t>
      </w:r>
      <w:r>
        <w:rPr>
          <w:rFonts w:ascii="Times New Roman" w:hAnsi="Times New Roman" w:cs="Times New Roman"/>
          <w:sz w:val="24"/>
          <w:szCs w:val="24"/>
        </w:rPr>
        <w:t xml:space="preserve"> is also of interest here because he represents the false-intellectual type often found in the pages of the </w:t>
      </w:r>
      <w:r>
        <w:rPr>
          <w:rFonts w:ascii="Times New Roman" w:hAnsi="Times New Roman" w:cs="Times New Roman"/>
          <w:i/>
          <w:sz w:val="24"/>
          <w:szCs w:val="24"/>
        </w:rPr>
        <w:t>NA</w:t>
      </w:r>
      <w:r>
        <w:rPr>
          <w:rFonts w:ascii="Times New Roman" w:hAnsi="Times New Roman" w:cs="Times New Roman"/>
          <w:sz w:val="24"/>
          <w:szCs w:val="24"/>
        </w:rPr>
        <w:t xml:space="preserve">. But, in my reading, verbal echoes of the Preface in the speech of the </w:t>
      </w:r>
      <w:r>
        <w:rPr>
          <w:rFonts w:ascii="Times New Roman" w:hAnsi="Times New Roman" w:cs="Times New Roman"/>
          <w:i/>
          <w:sz w:val="24"/>
          <w:szCs w:val="24"/>
        </w:rPr>
        <w:t>grammaticus</w:t>
      </w:r>
      <w:r>
        <w:rPr>
          <w:rFonts w:ascii="Times New Roman" w:hAnsi="Times New Roman" w:cs="Times New Roman"/>
          <w:sz w:val="24"/>
          <w:szCs w:val="24"/>
        </w:rPr>
        <w:t xml:space="preserve">, combined with similar interests shown by Gellius himself elsewhere in the </w:t>
      </w:r>
      <w:r>
        <w:rPr>
          <w:rFonts w:ascii="Times New Roman" w:hAnsi="Times New Roman" w:cs="Times New Roman"/>
          <w:i/>
          <w:sz w:val="24"/>
          <w:szCs w:val="24"/>
        </w:rPr>
        <w:t>NA</w:t>
      </w:r>
      <w:r>
        <w:rPr>
          <w:rFonts w:ascii="Times New Roman" w:hAnsi="Times New Roman" w:cs="Times New Roman"/>
          <w:sz w:val="24"/>
          <w:szCs w:val="24"/>
        </w:rPr>
        <w:t xml:space="preserve">, suggest an ironic self-identification with the pretentious grammarian. </w:t>
      </w:r>
      <w:r w:rsidR="008A1336">
        <w:rPr>
          <w:rFonts w:ascii="Times New Roman" w:hAnsi="Times New Roman" w:cs="Times New Roman"/>
          <w:sz w:val="24"/>
          <w:szCs w:val="24"/>
        </w:rPr>
        <w:t>This potential irony encourages the reader to re-evaluate Gellius’s fidelity to the program that he had laid out in the Preface.</w:t>
      </w:r>
      <w:r w:rsidR="00EE6A6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B721A" w:rsidRDefault="00EE6A66" w:rsidP="00A12771">
      <w:pPr>
        <w:spacing w:line="48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But, whatever the status of this irony, the interaction between the pedantic </w:t>
      </w:r>
      <w:r>
        <w:rPr>
          <w:rFonts w:ascii="Times New Roman" w:hAnsi="Times New Roman" w:cs="Times New Roman"/>
          <w:i/>
          <w:sz w:val="24"/>
          <w:szCs w:val="24"/>
        </w:rPr>
        <w:t>grammaticus</w:t>
      </w:r>
      <w:r>
        <w:rPr>
          <w:rFonts w:ascii="Times New Roman" w:hAnsi="Times New Roman" w:cs="Times New Roman"/>
          <w:sz w:val="24"/>
          <w:szCs w:val="24"/>
        </w:rPr>
        <w:t xml:space="preserve"> and the truly knowledgeable Favorinus explores the bounds of the </w:t>
      </w:r>
      <w:r>
        <w:rPr>
          <w:rFonts w:ascii="Times New Roman" w:hAnsi="Times New Roman" w:cs="Times New Roman"/>
          <w:i/>
          <w:sz w:val="24"/>
          <w:szCs w:val="24"/>
        </w:rPr>
        <w:t>NA</w:t>
      </w:r>
      <w:r>
        <w:rPr>
          <w:rFonts w:ascii="Times New Roman" w:hAnsi="Times New Roman" w:cs="Times New Roman"/>
          <w:sz w:val="24"/>
          <w:szCs w:val="24"/>
        </w:rPr>
        <w:t>, in terms of both what is worth knowing and what is a sensible limit to learning.</w:t>
      </w:r>
      <w:r w:rsidR="00E009A4">
        <w:rPr>
          <w:rFonts w:ascii="Times New Roman" w:hAnsi="Times New Roman" w:cs="Times New Roman"/>
          <w:sz w:val="24"/>
          <w:szCs w:val="24"/>
        </w:rPr>
        <w:t xml:space="preserve"> The echoes of the Preface activate for the reader an understanding of the importance of this chapter</w:t>
      </w:r>
      <w:r w:rsidR="000B721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E6A66" w:rsidRDefault="000B721A" w:rsidP="000B721A">
      <w:pPr>
        <w:spacing w:line="480" w:lineRule="auto"/>
        <w:ind w:firstLine="72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If one is reading (preferably in sequence) with an ear for echoes, a method of reading that I suggest for the </w:t>
      </w:r>
      <w:r>
        <w:rPr>
          <w:rFonts w:ascii="Times New Roman" w:hAnsi="Times New Roman" w:cs="Times New Roman"/>
          <w:i/>
          <w:sz w:val="24"/>
          <w:szCs w:val="24"/>
        </w:rPr>
        <w:t>NA</w:t>
      </w:r>
      <w:r>
        <w:rPr>
          <w:rFonts w:ascii="Times New Roman" w:hAnsi="Times New Roman" w:cs="Times New Roman"/>
          <w:sz w:val="24"/>
          <w:szCs w:val="24"/>
        </w:rPr>
        <w:t xml:space="preserve">, then one cannot miss the connection between this chapter and the Preface. </w:t>
      </w:r>
      <w:r w:rsidR="00292E5B">
        <w:rPr>
          <w:rFonts w:ascii="Times New Roman" w:hAnsi="Times New Roman" w:cs="Times New Roman"/>
          <w:sz w:val="24"/>
          <w:szCs w:val="24"/>
        </w:rPr>
        <w:t xml:space="preserve">Moreover, a sequential reading makes the reader more aware of the situational context of this (or any) chapter: a similar situation in the final chapter of Book 3 (in which Favorinus rejects the etymology of </w:t>
      </w:r>
      <w:r w:rsidR="00292E5B">
        <w:rPr>
          <w:rFonts w:ascii="Times New Roman" w:hAnsi="Times New Roman" w:cs="Times New Roman"/>
          <w:i/>
          <w:sz w:val="24"/>
          <w:szCs w:val="24"/>
        </w:rPr>
        <w:t>parcus</w:t>
      </w:r>
      <w:r w:rsidR="00292E5B">
        <w:rPr>
          <w:rFonts w:ascii="Times New Roman" w:hAnsi="Times New Roman" w:cs="Times New Roman"/>
          <w:sz w:val="24"/>
          <w:szCs w:val="24"/>
        </w:rPr>
        <w:t xml:space="preserve"> from </w:t>
      </w:r>
      <w:r w:rsidR="00292E5B">
        <w:rPr>
          <w:rFonts w:ascii="Times New Roman" w:hAnsi="Times New Roman" w:cs="Times New Roman"/>
          <w:i/>
          <w:sz w:val="24"/>
          <w:szCs w:val="24"/>
        </w:rPr>
        <w:t>arcus</w:t>
      </w:r>
      <w:r w:rsidR="00292E5B">
        <w:rPr>
          <w:rFonts w:ascii="Times New Roman" w:hAnsi="Times New Roman" w:cs="Times New Roman"/>
          <w:sz w:val="24"/>
          <w:szCs w:val="24"/>
        </w:rPr>
        <w:t xml:space="preserve"> – a kind of container, </w:t>
      </w:r>
      <w:r w:rsidR="00F72B2A">
        <w:rPr>
          <w:rFonts w:ascii="Times New Roman" w:hAnsi="Times New Roman" w:cs="Times New Roman"/>
          <w:sz w:val="24"/>
          <w:szCs w:val="24"/>
        </w:rPr>
        <w:t xml:space="preserve">not unlike the </w:t>
      </w:r>
      <w:r w:rsidR="00F72B2A">
        <w:rPr>
          <w:rFonts w:ascii="Times New Roman" w:hAnsi="Times New Roman" w:cs="Times New Roman"/>
          <w:i/>
          <w:sz w:val="24"/>
          <w:szCs w:val="24"/>
        </w:rPr>
        <w:t>penus</w:t>
      </w:r>
      <w:r w:rsidR="00F72B2A">
        <w:rPr>
          <w:rFonts w:ascii="Times New Roman" w:hAnsi="Times New Roman" w:cs="Times New Roman"/>
          <w:sz w:val="24"/>
          <w:szCs w:val="24"/>
        </w:rPr>
        <w:t>)</w:t>
      </w:r>
      <w:r w:rsidR="00F952BC">
        <w:rPr>
          <w:rFonts w:ascii="Times New Roman" w:hAnsi="Times New Roman" w:cs="Times New Roman"/>
          <w:sz w:val="24"/>
          <w:szCs w:val="24"/>
        </w:rPr>
        <w:t xml:space="preserve"> reinforces the probability that the reader will be reminded of the Preface’s </w:t>
      </w:r>
      <w:r w:rsidR="00F952BC">
        <w:rPr>
          <w:rFonts w:ascii="Times New Roman" w:hAnsi="Times New Roman" w:cs="Times New Roman"/>
          <w:i/>
          <w:sz w:val="24"/>
          <w:szCs w:val="24"/>
        </w:rPr>
        <w:t>penus</w:t>
      </w:r>
      <w:r w:rsidR="00F952BC">
        <w:rPr>
          <w:rFonts w:ascii="Times New Roman" w:hAnsi="Times New Roman" w:cs="Times New Roman"/>
          <w:sz w:val="24"/>
          <w:szCs w:val="24"/>
        </w:rPr>
        <w:t xml:space="preserve"> and encourages the reader to ponder the meanings of words and the limits of knowledge.</w:t>
      </w:r>
    </w:p>
    <w:p w:rsidR="00AD175A" w:rsidRDefault="00AD175A" w:rsidP="000B721A">
      <w:pPr>
        <w:spacing w:line="480" w:lineRule="auto"/>
        <w:ind w:firstLine="720"/>
        <w:contextualSpacing/>
        <w:rPr>
          <w:rFonts w:ascii="Times New Roman" w:hAnsi="Times New Roman" w:cs="Times New Roman"/>
          <w:sz w:val="24"/>
          <w:szCs w:val="24"/>
        </w:rPr>
      </w:pPr>
    </w:p>
    <w:p w:rsidR="00AD175A" w:rsidRDefault="00AD175A" w:rsidP="000B721A">
      <w:pPr>
        <w:spacing w:line="480" w:lineRule="auto"/>
        <w:ind w:firstLine="720"/>
        <w:contextualSpacing/>
        <w:rPr>
          <w:rFonts w:ascii="Times New Roman" w:hAnsi="Times New Roman" w:cs="Times New Roman"/>
          <w:sz w:val="24"/>
          <w:szCs w:val="24"/>
        </w:rPr>
      </w:pPr>
    </w:p>
    <w:p w:rsidR="00AD175A" w:rsidRDefault="00AD175A" w:rsidP="00AD175A">
      <w:pPr>
        <w:spacing w:line="48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Bibliography</w:t>
      </w:r>
    </w:p>
    <w:p w:rsidR="00190939" w:rsidRDefault="00190939" w:rsidP="00873137">
      <w:pPr>
        <w:spacing w:line="240" w:lineRule="auto"/>
        <w:ind w:left="720" w:hanging="72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Beall, S. 2001. “</w:t>
      </w:r>
      <w:r>
        <w:rPr>
          <w:rFonts w:ascii="Times New Roman" w:hAnsi="Times New Roman" w:cs="Times New Roman"/>
          <w:i/>
          <w:sz w:val="24"/>
          <w:szCs w:val="24"/>
        </w:rPr>
        <w:t>Homo Fandi Dulcissimus</w:t>
      </w:r>
      <w:r>
        <w:rPr>
          <w:rFonts w:ascii="Times New Roman" w:hAnsi="Times New Roman" w:cs="Times New Roman"/>
          <w:sz w:val="24"/>
          <w:szCs w:val="24"/>
        </w:rPr>
        <w:t xml:space="preserve">: The Role of Favorinus in the </w:t>
      </w:r>
      <w:r>
        <w:rPr>
          <w:rFonts w:ascii="Times New Roman" w:hAnsi="Times New Roman" w:cs="Times New Roman"/>
          <w:i/>
          <w:sz w:val="24"/>
          <w:szCs w:val="24"/>
        </w:rPr>
        <w:t>Attic Nights</w:t>
      </w:r>
      <w:r>
        <w:rPr>
          <w:rFonts w:ascii="Times New Roman" w:hAnsi="Times New Roman" w:cs="Times New Roman"/>
          <w:sz w:val="24"/>
          <w:szCs w:val="24"/>
        </w:rPr>
        <w:t xml:space="preserve"> of Aulus Gellius.” </w:t>
      </w:r>
      <w:r>
        <w:rPr>
          <w:rFonts w:ascii="Times New Roman" w:hAnsi="Times New Roman" w:cs="Times New Roman"/>
          <w:i/>
          <w:sz w:val="24"/>
          <w:szCs w:val="24"/>
        </w:rPr>
        <w:t>American Journal of Philology</w:t>
      </w:r>
      <w:r>
        <w:rPr>
          <w:rFonts w:ascii="Times New Roman" w:hAnsi="Times New Roman" w:cs="Times New Roman"/>
          <w:sz w:val="24"/>
          <w:szCs w:val="24"/>
        </w:rPr>
        <w:t xml:space="preserve"> 122: 87-106.</w:t>
      </w:r>
    </w:p>
    <w:p w:rsidR="008C013F" w:rsidRDefault="008C013F" w:rsidP="00873137">
      <w:pPr>
        <w:spacing w:line="240" w:lineRule="auto"/>
        <w:ind w:left="720" w:hanging="720"/>
        <w:contextualSpacing/>
        <w:rPr>
          <w:rFonts w:ascii="Times New Roman" w:hAnsi="Times New Roman" w:cs="Times New Roman"/>
          <w:sz w:val="24"/>
          <w:szCs w:val="24"/>
        </w:rPr>
      </w:pPr>
    </w:p>
    <w:p w:rsidR="008C013F" w:rsidRPr="008C013F" w:rsidRDefault="0049573A" w:rsidP="00873137">
      <w:pPr>
        <w:spacing w:line="240" w:lineRule="auto"/>
        <w:ind w:left="720" w:hanging="720"/>
        <w:contextualSpacing/>
        <w:rPr>
          <w:rFonts w:ascii="Times New Roman" w:hAnsi="Times New Roman" w:cs="Times New Roman"/>
          <w:sz w:val="24"/>
          <w:szCs w:val="24"/>
        </w:rPr>
      </w:pPr>
      <w:r w:rsidRPr="0049573A">
        <w:rPr>
          <w:rFonts w:ascii="Times New Roman" w:hAnsi="Times New Roman" w:cs="Times New Roman"/>
          <w:strike/>
          <w:sz w:val="24"/>
          <w:szCs w:val="24"/>
        </w:rPr>
        <w:t xml:space="preserve">          </w:t>
      </w:r>
      <w:r w:rsidR="008C013F">
        <w:rPr>
          <w:rFonts w:ascii="Times New Roman" w:hAnsi="Times New Roman" w:cs="Times New Roman"/>
          <w:sz w:val="24"/>
          <w:szCs w:val="24"/>
        </w:rPr>
        <w:t xml:space="preserve">. 1988. Civilis Eruditio: </w:t>
      </w:r>
      <w:r w:rsidR="008C013F">
        <w:rPr>
          <w:rFonts w:ascii="Times New Roman" w:hAnsi="Times New Roman" w:cs="Times New Roman"/>
          <w:i/>
          <w:sz w:val="24"/>
          <w:szCs w:val="24"/>
        </w:rPr>
        <w:t>Style and Content in the “Attic Nights” of Aulus Gellius</w:t>
      </w:r>
      <w:r w:rsidR="008C013F">
        <w:rPr>
          <w:rFonts w:ascii="Times New Roman" w:hAnsi="Times New Roman" w:cs="Times New Roman"/>
          <w:sz w:val="24"/>
          <w:szCs w:val="24"/>
        </w:rPr>
        <w:t>.</w:t>
      </w:r>
      <w:r w:rsidR="007D5C0D">
        <w:rPr>
          <w:rFonts w:ascii="Times New Roman" w:hAnsi="Times New Roman" w:cs="Times New Roman"/>
          <w:sz w:val="24"/>
          <w:szCs w:val="24"/>
        </w:rPr>
        <w:t xml:space="preserve"> Diss. University of California, Berkeley.</w:t>
      </w:r>
    </w:p>
    <w:p w:rsidR="00190939" w:rsidRDefault="00190939" w:rsidP="00873137">
      <w:pPr>
        <w:spacing w:line="240" w:lineRule="auto"/>
        <w:ind w:left="720" w:hanging="720"/>
        <w:contextualSpacing/>
        <w:rPr>
          <w:rFonts w:ascii="Times New Roman" w:hAnsi="Times New Roman" w:cs="Times New Roman"/>
          <w:sz w:val="24"/>
          <w:szCs w:val="24"/>
        </w:rPr>
      </w:pPr>
    </w:p>
    <w:p w:rsidR="00AD175A" w:rsidRDefault="00825CCD" w:rsidP="00873137">
      <w:pPr>
        <w:spacing w:line="240" w:lineRule="auto"/>
        <w:ind w:left="720" w:hanging="72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Gunderson, E</w:t>
      </w:r>
      <w:r w:rsidR="00873137">
        <w:rPr>
          <w:rFonts w:ascii="Times New Roman" w:hAnsi="Times New Roman" w:cs="Times New Roman"/>
          <w:sz w:val="24"/>
          <w:szCs w:val="24"/>
        </w:rPr>
        <w:t xml:space="preserve">. 2009. </w:t>
      </w:r>
      <w:r w:rsidR="00873137">
        <w:rPr>
          <w:rFonts w:ascii="Times New Roman" w:hAnsi="Times New Roman" w:cs="Times New Roman"/>
          <w:i/>
          <w:sz w:val="24"/>
          <w:szCs w:val="24"/>
        </w:rPr>
        <w:t>Nox Philologiae: Aulus Gellius and the Fantasy of the Roman Library</w:t>
      </w:r>
      <w:r w:rsidR="00873137">
        <w:rPr>
          <w:rFonts w:ascii="Times New Roman" w:hAnsi="Times New Roman" w:cs="Times New Roman"/>
          <w:sz w:val="24"/>
          <w:szCs w:val="24"/>
        </w:rPr>
        <w:t>. University of Wisconsin Press.</w:t>
      </w:r>
    </w:p>
    <w:p w:rsidR="00825CCD" w:rsidRDefault="00825CCD" w:rsidP="00873137">
      <w:pPr>
        <w:spacing w:line="240" w:lineRule="auto"/>
        <w:ind w:left="720" w:hanging="720"/>
        <w:contextualSpacing/>
        <w:rPr>
          <w:rFonts w:ascii="Times New Roman" w:hAnsi="Times New Roman" w:cs="Times New Roman"/>
          <w:sz w:val="24"/>
          <w:szCs w:val="24"/>
        </w:rPr>
      </w:pPr>
    </w:p>
    <w:p w:rsidR="00825CCD" w:rsidRPr="00825CCD" w:rsidRDefault="00825CCD" w:rsidP="00873137">
      <w:pPr>
        <w:spacing w:line="240" w:lineRule="auto"/>
        <w:ind w:left="720" w:hanging="72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Henry, M. 1994. “On the Aims and Purposes of Aulus Gellius’ ‘Noctes Atticae’.” In </w:t>
      </w:r>
      <w:r>
        <w:rPr>
          <w:rFonts w:ascii="Times New Roman" w:hAnsi="Times New Roman" w:cs="Times New Roman"/>
          <w:i/>
          <w:sz w:val="24"/>
          <w:szCs w:val="24"/>
        </w:rPr>
        <w:t>Aufstieg und Niedergang der römischen Welt: Geschichte und Kultur Roms im Spiegel der neueren Forschung</w:t>
      </w:r>
      <w:r>
        <w:rPr>
          <w:rFonts w:ascii="Times New Roman" w:hAnsi="Times New Roman" w:cs="Times New Roman"/>
          <w:sz w:val="24"/>
          <w:szCs w:val="24"/>
        </w:rPr>
        <w:t>, pt. II, vol. 34, pt.2, 1918-1941. W. de Gruyter.</w:t>
      </w:r>
    </w:p>
    <w:p w:rsidR="00873137" w:rsidRDefault="00873137" w:rsidP="00681DBA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873137" w:rsidRDefault="00825CCD" w:rsidP="00681DBA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Keulen, W</w:t>
      </w:r>
      <w:r w:rsidR="00873137">
        <w:rPr>
          <w:rFonts w:ascii="Times New Roman" w:hAnsi="Times New Roman" w:cs="Times New Roman"/>
          <w:sz w:val="24"/>
          <w:szCs w:val="24"/>
        </w:rPr>
        <w:t xml:space="preserve">. 2009. </w:t>
      </w:r>
      <w:r w:rsidR="00873137">
        <w:rPr>
          <w:rFonts w:ascii="Times New Roman" w:hAnsi="Times New Roman" w:cs="Times New Roman"/>
          <w:i/>
          <w:sz w:val="24"/>
          <w:szCs w:val="24"/>
        </w:rPr>
        <w:t>Gellius the Satirist: Roman Cultural Authority in the Attic Nights</w:t>
      </w:r>
      <w:r w:rsidR="00873137">
        <w:rPr>
          <w:rFonts w:ascii="Times New Roman" w:hAnsi="Times New Roman" w:cs="Times New Roman"/>
          <w:sz w:val="24"/>
          <w:szCs w:val="24"/>
        </w:rPr>
        <w:t>. Brill.</w:t>
      </w:r>
    </w:p>
    <w:p w:rsidR="00825CCD" w:rsidRDefault="00825CCD" w:rsidP="00681DBA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825CCD" w:rsidRPr="00873137" w:rsidRDefault="00825CCD" w:rsidP="00681DBA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sectPr w:rsidR="00825CCD" w:rsidRPr="00873137" w:rsidSect="000C2BFF">
      <w:headerReference w:type="default" r:id="rId6"/>
      <w:pgSz w:w="12240" w:h="15840"/>
      <w:pgMar w:top="1440" w:right="1440" w:bottom="1440" w:left="1440" w:gutter="0"/>
      <w:docGrid w:linePitch="360"/>
    </w:sectPr>
  </w:body>
</w:document>
</file>

<file path=word/endnotes.xml><?xml version="1.0" encoding="utf-8"?>
<w:end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75DF" w:rsidRDefault="008375DF" w:rsidP="0054647D">
      <w:pPr>
        <w:spacing w:after="0" w:line="240" w:lineRule="auto"/>
      </w:pPr>
      <w:r>
        <w:separator/>
      </w:r>
    </w:p>
  </w:endnote>
  <w:endnote w:type="continuationSeparator" w:id="0">
    <w:p w:rsidR="008375DF" w:rsidRDefault="008375DF" w:rsidP="005464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75DF" w:rsidRDefault="008375DF" w:rsidP="0054647D">
      <w:pPr>
        <w:spacing w:after="0" w:line="240" w:lineRule="auto"/>
      </w:pPr>
      <w:r>
        <w:separator/>
      </w:r>
    </w:p>
  </w:footnote>
  <w:footnote w:type="continuationSeparator" w:id="0">
    <w:p w:rsidR="008375DF" w:rsidRDefault="008375DF" w:rsidP="005464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06439344"/>
      <w:docPartObj>
        <w:docPartGallery w:val="Page Numbers (Top of Page)"/>
        <w:docPartUnique/>
      </w:docPartObj>
    </w:sdtPr>
    <w:sdtEndPr>
      <w:rPr>
        <w:noProof/>
      </w:rPr>
    </w:sdtEndPr>
    <w:sdtContent>
      <w:p w:rsidR="0054647D" w:rsidRDefault="000C2BFF">
        <w:pPr>
          <w:pStyle w:val="Header"/>
          <w:jc w:val="right"/>
        </w:pPr>
        <w:fldSimple w:instr=" PAGE   \* MERGEFORMAT ">
          <w:r w:rsidR="00553EFD">
            <w:rPr>
              <w:noProof/>
            </w:rPr>
            <w:t>1</w:t>
          </w:r>
        </w:fldSimple>
      </w:p>
    </w:sdtContent>
  </w:sdt>
  <w:p w:rsidR="0054647D" w:rsidRDefault="0054647D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939D1"/>
    <w:rsid w:val="0002250C"/>
    <w:rsid w:val="000B3A6D"/>
    <w:rsid w:val="000B721A"/>
    <w:rsid w:val="000C2BFF"/>
    <w:rsid w:val="001511E1"/>
    <w:rsid w:val="00190939"/>
    <w:rsid w:val="001939D1"/>
    <w:rsid w:val="00292E5B"/>
    <w:rsid w:val="002E5AC3"/>
    <w:rsid w:val="0049573A"/>
    <w:rsid w:val="0054647D"/>
    <w:rsid w:val="00553EFD"/>
    <w:rsid w:val="00583F5A"/>
    <w:rsid w:val="00681DBA"/>
    <w:rsid w:val="006E5EA5"/>
    <w:rsid w:val="007D5C0D"/>
    <w:rsid w:val="00825CCD"/>
    <w:rsid w:val="008375DF"/>
    <w:rsid w:val="008416FA"/>
    <w:rsid w:val="00873137"/>
    <w:rsid w:val="008A1336"/>
    <w:rsid w:val="008C013F"/>
    <w:rsid w:val="00966D48"/>
    <w:rsid w:val="00A12771"/>
    <w:rsid w:val="00AD175A"/>
    <w:rsid w:val="00D411CC"/>
    <w:rsid w:val="00DC7BE2"/>
    <w:rsid w:val="00E009A4"/>
    <w:rsid w:val="00EB256C"/>
    <w:rsid w:val="00EE6A66"/>
    <w:rsid w:val="00F72B2A"/>
    <w:rsid w:val="00F952BC"/>
  </w:rsids>
  <m:mathPr>
    <m:mathFont m:val="SimSun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2BFF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464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647D"/>
  </w:style>
  <w:style w:type="paragraph" w:styleId="Footer">
    <w:name w:val="footer"/>
    <w:basedOn w:val="Normal"/>
    <w:link w:val="FooterChar"/>
    <w:uiPriority w:val="99"/>
    <w:unhideWhenUsed/>
    <w:rsid w:val="005464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647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464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647D"/>
  </w:style>
  <w:style w:type="paragraph" w:styleId="Footer">
    <w:name w:val="footer"/>
    <w:basedOn w:val="Normal"/>
    <w:link w:val="FooterChar"/>
    <w:uiPriority w:val="99"/>
    <w:unhideWhenUsed/>
    <w:rsid w:val="005464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647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7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9" Type="http://schemas.microsoft.com/office/2007/relationships/stylesWithEffects" Target="stylesWithEffects.xml"/><Relationship Id="rId3" Type="http://schemas.openxmlformats.org/officeDocument/2006/relationships/webSettings" Target="webSetting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472</Words>
  <Characters>2695</Characters>
  <Application>Microsoft Macintosh Word</Application>
  <DocSecurity>0</DocSecurity>
  <Lines>22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Monmouth College</Company>
  <LinksUpToDate>false</LinksUpToDate>
  <CharactersWithSpaces>3309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Sienkewicz, Thomas J.</dc:creator>
  <cp:lastModifiedBy>Information and Instructional Technologies</cp:lastModifiedBy>
  <cp:revision>3</cp:revision>
  <dcterms:created xsi:type="dcterms:W3CDTF">2011-09-22T01:05:00Z</dcterms:created>
  <dcterms:modified xsi:type="dcterms:W3CDTF">2011-09-22T01:59:00Z</dcterms:modified>
</cp:coreProperties>
</file>