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5D" w:rsidRPr="0038155D" w:rsidRDefault="0038155D" w:rsidP="0038155D">
      <w:pPr>
        <w:jc w:val="center"/>
      </w:pPr>
      <w:r w:rsidRPr="0038155D">
        <w:t>Iocasta’s Intercession in</w:t>
      </w:r>
      <w:r w:rsidRPr="0038155D">
        <w:rPr>
          <w:i/>
        </w:rPr>
        <w:t xml:space="preserve"> </w:t>
      </w:r>
      <w:r w:rsidRPr="0038155D">
        <w:t xml:space="preserve">Statius' </w:t>
      </w:r>
      <w:r w:rsidRPr="0038155D">
        <w:rPr>
          <w:i/>
        </w:rPr>
        <w:t xml:space="preserve">Thebaid </w:t>
      </w:r>
      <w:r w:rsidRPr="0038155D">
        <w:t>and its Literary Antecedents</w:t>
      </w:r>
    </w:p>
    <w:p w:rsidR="00B242FC" w:rsidRPr="00ED10D6" w:rsidRDefault="00B242FC" w:rsidP="002A6950"/>
    <w:p w:rsidR="00BA767F" w:rsidRDefault="00305B40" w:rsidP="00FB2198">
      <w:pPr>
        <w:autoSpaceDE w:val="0"/>
        <w:autoSpaceDN w:val="0"/>
        <w:adjustRightInd w:val="0"/>
      </w:pPr>
      <w:r>
        <w:t>A</w:t>
      </w:r>
      <w:r w:rsidR="00001B85" w:rsidRPr="00ED10D6">
        <w:t xml:space="preserve"> mock </w:t>
      </w:r>
      <w:r w:rsidR="00001B85" w:rsidRPr="00CE439E">
        <w:t>aporia</w:t>
      </w:r>
      <w:r w:rsidR="00ED10D6">
        <w:t xml:space="preserve"> </w:t>
      </w:r>
      <w:r>
        <w:t xml:space="preserve">from </w:t>
      </w:r>
      <w:r w:rsidR="00ED10D6">
        <w:t>Martial</w:t>
      </w:r>
      <w:r w:rsidR="00206233">
        <w:t xml:space="preserve"> that </w:t>
      </w:r>
      <w:r>
        <w:t xml:space="preserve">suggests recycled narratives could be tiresome when not done </w:t>
      </w:r>
      <w:r w:rsidR="00206233">
        <w:t>well</w:t>
      </w:r>
      <w:r w:rsidR="00ED10D6">
        <w:t xml:space="preserve"> </w:t>
      </w:r>
      <w:r w:rsidR="002A6950">
        <w:t>belittles</w:t>
      </w:r>
      <w:r w:rsidR="00001B85" w:rsidRPr="00ED10D6">
        <w:t xml:space="preserve"> the Theban </w:t>
      </w:r>
      <w:r w:rsidR="00ED10D6" w:rsidRPr="00ED10D6">
        <w:t xml:space="preserve">story as </w:t>
      </w:r>
      <w:r w:rsidR="00001B85" w:rsidRPr="00ED10D6">
        <w:t>a trifle</w:t>
      </w:r>
      <w:r w:rsidR="002A6950">
        <w:t xml:space="preserve"> </w:t>
      </w:r>
      <w:r w:rsidR="00ED10D6" w:rsidRPr="00ED10D6">
        <w:t xml:space="preserve">(14.1.11-12). </w:t>
      </w:r>
      <w:r>
        <w:t xml:space="preserve"> </w:t>
      </w:r>
      <w:r w:rsidR="00EE5714">
        <w:t>T</w:t>
      </w:r>
      <w:r>
        <w:t xml:space="preserve">he predictability of revised narratives </w:t>
      </w:r>
      <w:r w:rsidR="00815D2B">
        <w:t xml:space="preserve">likely </w:t>
      </w:r>
      <w:r>
        <w:t xml:space="preserve">hampered the success of many </w:t>
      </w:r>
      <w:r w:rsidR="00CE439E">
        <w:t xml:space="preserve">poetic </w:t>
      </w:r>
      <w:r>
        <w:t xml:space="preserve">efforts, and Statius </w:t>
      </w:r>
      <w:r w:rsidR="002423E3">
        <w:t>certainly</w:t>
      </w:r>
      <w:r w:rsidR="00FB2198">
        <w:t xml:space="preserve"> </w:t>
      </w:r>
      <w:r w:rsidR="00EE5714">
        <w:t>worries a few times</w:t>
      </w:r>
      <w:r>
        <w:t xml:space="preserve"> over the success of his own </w:t>
      </w:r>
      <w:r w:rsidR="002E4D12" w:rsidRPr="002E4D12">
        <w:t>w</w:t>
      </w:r>
      <w:bookmarkStart w:id="0" w:name="_GoBack"/>
      <w:bookmarkEnd w:id="0"/>
      <w:r w:rsidR="002E4D12" w:rsidRPr="002E4D12">
        <w:t>ork</w:t>
      </w:r>
      <w:r w:rsidR="00FB2198">
        <w:t xml:space="preserve"> (See </w:t>
      </w:r>
      <w:r w:rsidR="002423E3">
        <w:rPr>
          <w:i/>
        </w:rPr>
        <w:t xml:space="preserve">Theb. </w:t>
      </w:r>
      <w:r w:rsidR="002423E3">
        <w:t xml:space="preserve">12.810-19 and </w:t>
      </w:r>
      <w:r w:rsidR="00FB2198" w:rsidRPr="002423E3">
        <w:rPr>
          <w:i/>
        </w:rPr>
        <w:t>Ac</w:t>
      </w:r>
      <w:r w:rsidRPr="002423E3">
        <w:rPr>
          <w:i/>
        </w:rPr>
        <w:t>h</w:t>
      </w:r>
      <w:r w:rsidR="00D371A2">
        <w:t xml:space="preserve">. </w:t>
      </w:r>
      <w:r w:rsidR="002423E3">
        <w:t>1.12-13</w:t>
      </w:r>
      <w:r>
        <w:t xml:space="preserve">). </w:t>
      </w:r>
      <w:r w:rsidR="00815D2B">
        <w:t xml:space="preserve">His </w:t>
      </w:r>
      <w:r w:rsidR="002E4D12" w:rsidRPr="002E4D12">
        <w:rPr>
          <w:i/>
        </w:rPr>
        <w:t>Thebaid</w:t>
      </w:r>
      <w:r w:rsidR="00815D2B">
        <w:t xml:space="preserve"> was preceded by several works </w:t>
      </w:r>
      <w:r w:rsidR="00EE5714">
        <w:t>not least of which was</w:t>
      </w:r>
      <w:r w:rsidR="00815D2B" w:rsidRPr="00ED10D6">
        <w:t xml:space="preserve"> the </w:t>
      </w:r>
      <w:r w:rsidR="00815D2B" w:rsidRPr="00ED10D6">
        <w:rPr>
          <w:i/>
        </w:rPr>
        <w:t>Phoenissae</w:t>
      </w:r>
      <w:r w:rsidR="00815D2B" w:rsidRPr="00ED10D6">
        <w:t xml:space="preserve"> of Euripides, </w:t>
      </w:r>
      <w:r w:rsidR="00815D2B">
        <w:t>distinguished as</w:t>
      </w:r>
      <w:r w:rsidR="00815D2B" w:rsidRPr="00ED10D6">
        <w:t xml:space="preserve"> one of the most attested literary papyri of antiquity and </w:t>
      </w:r>
      <w:r w:rsidR="00815D2B">
        <w:t>a</w:t>
      </w:r>
      <w:r w:rsidR="00815D2B" w:rsidRPr="00ED10D6">
        <w:t xml:space="preserve"> </w:t>
      </w:r>
      <w:r w:rsidR="00815D2B">
        <w:t xml:space="preserve">school text </w:t>
      </w:r>
      <w:r w:rsidR="00815D2B" w:rsidRPr="00ED10D6">
        <w:t>frequently</w:t>
      </w:r>
      <w:r w:rsidR="00815D2B">
        <w:t xml:space="preserve"> visited</w:t>
      </w:r>
      <w:r w:rsidR="00815D2B" w:rsidRPr="00ED10D6">
        <w:t xml:space="preserve"> throughout a young man’s education.</w:t>
      </w:r>
      <w:r w:rsidR="00815D2B">
        <w:rPr>
          <w:rStyle w:val="EndnoteReference"/>
        </w:rPr>
        <w:endnoteReference w:id="1"/>
      </w:r>
      <w:r w:rsidR="00815D2B" w:rsidRPr="00ED10D6">
        <w:t xml:space="preserve"> </w:t>
      </w:r>
      <w:r w:rsidR="00815D2B">
        <w:t xml:space="preserve"> </w:t>
      </w:r>
      <w:r w:rsidR="00B7738B" w:rsidRPr="00ED10D6">
        <w:t xml:space="preserve">The mutual fratricide of Oedipus’ sons is the absolute crisis toward </w:t>
      </w:r>
      <w:r w:rsidR="00B7738B">
        <w:t xml:space="preserve">which </w:t>
      </w:r>
      <w:r w:rsidR="00B7738B" w:rsidRPr="00ED10D6">
        <w:t xml:space="preserve">Theban narratives aim. This </w:t>
      </w:r>
      <w:r w:rsidR="00B7738B">
        <w:t xml:space="preserve">is the scene </w:t>
      </w:r>
      <w:r w:rsidR="00B7738B" w:rsidRPr="0023156E">
        <w:t>toward which</w:t>
      </w:r>
      <w:r w:rsidR="00B7738B">
        <w:t xml:space="preserve"> Statius’ </w:t>
      </w:r>
      <w:r w:rsidR="00B7738B" w:rsidRPr="0092633A">
        <w:rPr>
          <w:i/>
        </w:rPr>
        <w:t>Thebaid</w:t>
      </w:r>
      <w:r w:rsidR="00B7738B">
        <w:t xml:space="preserve"> must also work to be an identifiable reconstitution of the conflict between Eteocles and Polynices</w:t>
      </w:r>
      <w:r w:rsidR="00B7738B" w:rsidRPr="00ED10D6">
        <w:t>.</w:t>
      </w:r>
      <w:r w:rsidR="00B7738B">
        <w:t xml:space="preserve"> </w:t>
      </w:r>
      <w:r>
        <w:t xml:space="preserve">How </w:t>
      </w:r>
      <w:r w:rsidR="00815D2B">
        <w:t xml:space="preserve">then </w:t>
      </w:r>
      <w:r>
        <w:t xml:space="preserve">could </w:t>
      </w:r>
      <w:r w:rsidR="00EE5714">
        <w:t>Statius’ Theban epic</w:t>
      </w:r>
      <w:r>
        <w:t xml:space="preserve"> </w:t>
      </w:r>
      <w:r w:rsidR="00815D2B">
        <w:t xml:space="preserve">be </w:t>
      </w:r>
      <w:r>
        <w:t xml:space="preserve">engaging when </w:t>
      </w:r>
      <w:r w:rsidR="002423E3">
        <w:t>significant</w:t>
      </w:r>
      <w:r>
        <w:t xml:space="preserve"> plot points</w:t>
      </w:r>
      <w:r w:rsidR="00B7738B">
        <w:t>, particularly the scene of fratricide,</w:t>
      </w:r>
      <w:r>
        <w:t xml:space="preserve"> were </w:t>
      </w:r>
      <w:r w:rsidR="002423E3">
        <w:t>already known</w:t>
      </w:r>
      <w:r w:rsidR="00FB2198">
        <w:t>?</w:t>
      </w:r>
      <w:r w:rsidR="00FB2198" w:rsidRPr="002F44C6">
        <w:rPr>
          <w:rFonts w:ascii="Cambria" w:eastAsia="Calibri" w:hAnsi="Cambria"/>
        </w:rPr>
        <w:t xml:space="preserve"> </w:t>
      </w:r>
      <w:r w:rsidR="002A6950">
        <w:t>Suspense</w:t>
      </w:r>
      <w:r w:rsidR="00EE5714">
        <w:t>, to be sure,</w:t>
      </w:r>
      <w:r w:rsidR="002A6950">
        <w:t xml:space="preserve"> is integral</w:t>
      </w:r>
      <w:r w:rsidR="007137DD">
        <w:t xml:space="preserve"> to </w:t>
      </w:r>
      <w:r w:rsidR="002E4D12">
        <w:t xml:space="preserve">a </w:t>
      </w:r>
      <w:r w:rsidR="007137DD">
        <w:t>compelling narrative, but it</w:t>
      </w:r>
      <w:r w:rsidR="00EE5714">
        <w:t xml:space="preserve"> also </w:t>
      </w:r>
      <w:r w:rsidR="00001B85" w:rsidRPr="00ED10D6">
        <w:t xml:space="preserve">requires “a </w:t>
      </w:r>
      <w:r w:rsidR="00ED10D6">
        <w:t>state of cog</w:t>
      </w:r>
      <w:r w:rsidR="00FB2198">
        <w:t>nitive uncertainty”</w:t>
      </w:r>
      <w:r w:rsidR="00CF3AF1">
        <w:rPr>
          <w:rStyle w:val="EndnoteReference"/>
        </w:rPr>
        <w:endnoteReference w:id="2"/>
      </w:r>
      <w:r w:rsidR="00FB2198">
        <w:t xml:space="preserve"> </w:t>
      </w:r>
      <w:r w:rsidR="00D371A2">
        <w:t xml:space="preserve">and </w:t>
      </w:r>
      <w:r w:rsidR="00CE439E">
        <w:t>it is unlikely</w:t>
      </w:r>
      <w:r w:rsidR="00001B85" w:rsidRPr="00ED10D6">
        <w:t xml:space="preserve"> that Statius’ audience was unfamiliar</w:t>
      </w:r>
      <w:r w:rsidR="00815D2B">
        <w:t xml:space="preserve"> </w:t>
      </w:r>
      <w:r w:rsidR="00ED10D6">
        <w:t>with</w:t>
      </w:r>
      <w:r w:rsidR="00001B85" w:rsidRPr="00ED10D6">
        <w:t xml:space="preserve"> </w:t>
      </w:r>
      <w:r w:rsidR="002A6950" w:rsidRPr="002A6950">
        <w:t>previous narratives recounting similar episodes</w:t>
      </w:r>
      <w:r w:rsidR="00A43BB5">
        <w:t xml:space="preserve">. </w:t>
      </w:r>
    </w:p>
    <w:p w:rsidR="00B7738B" w:rsidRDefault="007137DD" w:rsidP="00A43BB5">
      <w:pPr>
        <w:autoSpaceDE w:val="0"/>
        <w:autoSpaceDN w:val="0"/>
        <w:adjustRightInd w:val="0"/>
        <w:ind w:firstLine="720"/>
      </w:pPr>
      <w:r>
        <w:t>There is a strong relationship between canonicity and the readers’ development of scripts.</w:t>
      </w:r>
      <w:r>
        <w:rPr>
          <w:rStyle w:val="EndnoteReference"/>
        </w:rPr>
        <w:endnoteReference w:id="3"/>
      </w:r>
      <w:r>
        <w:t xml:space="preserve">  </w:t>
      </w:r>
      <w:r w:rsidRPr="00ED10D6">
        <w:t>One of many canonical action sequences in the Theban story is Iocasta’s eff</w:t>
      </w:r>
      <w:r>
        <w:t xml:space="preserve">orts to prevent the conflict between her sons. Judged against his predecessors, </w:t>
      </w:r>
      <w:r w:rsidRPr="00ED10D6">
        <w:t xml:space="preserve">Statius’ treatment is unique because </w:t>
      </w:r>
      <w:r>
        <w:t>Iocasta</w:t>
      </w:r>
      <w:r w:rsidRPr="00ED10D6">
        <w:t xml:space="preserve"> never stands between her </w:t>
      </w:r>
      <w:r w:rsidR="00380F30" w:rsidRPr="00ED10D6">
        <w:t>sons</w:t>
      </w:r>
      <w:r w:rsidR="00380F30" w:rsidRPr="00380F30">
        <w:t xml:space="preserve"> </w:t>
      </w:r>
      <w:r w:rsidR="00380F30">
        <w:t xml:space="preserve">as in Euripides and Seneca. </w:t>
      </w:r>
      <w:r w:rsidR="00EE5714">
        <w:t>In this paper</w:t>
      </w:r>
      <w:r w:rsidR="00EE5714" w:rsidRPr="00ED10D6">
        <w:t xml:space="preserve"> </w:t>
      </w:r>
      <w:r w:rsidR="00EE5714">
        <w:t xml:space="preserve">I </w:t>
      </w:r>
      <w:r>
        <w:t xml:space="preserve">consider </w:t>
      </w:r>
      <w:r w:rsidR="00EE5714">
        <w:t xml:space="preserve">Iocasta’s </w:t>
      </w:r>
      <w:r w:rsidR="00B7738B">
        <w:t>efforts to intervene</w:t>
      </w:r>
      <w:r w:rsidR="00EE5714">
        <w:t xml:space="preserve"> as a breach in canonicity that creates</w:t>
      </w:r>
      <w:r w:rsidR="00B7738B">
        <w:t xml:space="preserve"> </w:t>
      </w:r>
      <w:r w:rsidR="00EE5714">
        <w:t>the uncertainty necessary for suspense.</w:t>
      </w:r>
      <w:r w:rsidR="00EE5714">
        <w:rPr>
          <w:rStyle w:val="EndnoteReference"/>
        </w:rPr>
        <w:endnoteReference w:id="4"/>
      </w:r>
      <w:r w:rsidR="00EE5714">
        <w:t xml:space="preserve"> </w:t>
      </w:r>
      <w:r w:rsidR="00B7738B">
        <w:t>Statius fails to present the brothers with Iocasta</w:t>
      </w:r>
      <w:r>
        <w:t>; however, this</w:t>
      </w:r>
      <w:r w:rsidR="00B7738B">
        <w:t xml:space="preserve"> is not a sheepish surrender to the productions of his predecessors</w:t>
      </w:r>
      <w:r w:rsidR="00B7738B">
        <w:rPr>
          <w:rStyle w:val="EndnoteReference"/>
        </w:rPr>
        <w:endnoteReference w:id="5"/>
      </w:r>
      <w:r w:rsidR="00B7738B">
        <w:t xml:space="preserve"> but a deft occlusion of a canonical scene. This elision invalidates the anticipation of events the reader would enjoy from familiarity with the story’s plot</w:t>
      </w:r>
      <w:r w:rsidR="002E4D12">
        <w:t xml:space="preserve"> (i.e. their operative script)</w:t>
      </w:r>
      <w:r w:rsidR="00B7738B">
        <w:t xml:space="preserve">. </w:t>
      </w:r>
      <w:r w:rsidR="00815D2B" w:rsidRPr="00ED10D6">
        <w:t xml:space="preserve">At the end of </w:t>
      </w:r>
      <w:r w:rsidR="00815D2B">
        <w:t>Iocasta’s</w:t>
      </w:r>
      <w:r w:rsidR="00815D2B" w:rsidRPr="00ED10D6">
        <w:t xml:space="preserve"> </w:t>
      </w:r>
      <w:r w:rsidR="00815D2B">
        <w:t xml:space="preserve">speech to dissuade </w:t>
      </w:r>
      <w:r w:rsidR="00815D2B" w:rsidRPr="00ED10D6">
        <w:t xml:space="preserve">Eteocles, Statius </w:t>
      </w:r>
      <w:r w:rsidR="00815D2B">
        <w:t>shifts the focus</w:t>
      </w:r>
      <w:r w:rsidR="00815D2B" w:rsidRPr="00ED10D6">
        <w:t xml:space="preserve"> to Antigone’s </w:t>
      </w:r>
      <w:r w:rsidR="00815D2B">
        <w:t>attempt to sway Polynices</w:t>
      </w:r>
      <w:r w:rsidR="00EE5714">
        <w:t xml:space="preserve">. This abrupt transition </w:t>
      </w:r>
      <w:r w:rsidR="00815D2B" w:rsidRPr="00ED10D6">
        <w:t>suspend</w:t>
      </w:r>
      <w:r w:rsidR="00815D2B">
        <w:t xml:space="preserve">s </w:t>
      </w:r>
      <w:r w:rsidR="00815D2B" w:rsidRPr="00ED10D6">
        <w:t>the outcome of Iocasta’s effort</w:t>
      </w:r>
      <w:r w:rsidR="00815D2B">
        <w:t>s</w:t>
      </w:r>
      <w:r w:rsidR="00EE5714">
        <w:t xml:space="preserve"> and </w:t>
      </w:r>
      <w:r w:rsidR="00815D2B">
        <w:t xml:space="preserve">leaves </w:t>
      </w:r>
      <w:r w:rsidR="00B7738B">
        <w:t xml:space="preserve">unanswered </w:t>
      </w:r>
      <w:r w:rsidR="00815D2B">
        <w:t>her question—</w:t>
      </w:r>
      <w:r w:rsidR="00815D2B" w:rsidRPr="0098695F">
        <w:rPr>
          <w:i/>
        </w:rPr>
        <w:t>in fratrem…exis?</w:t>
      </w:r>
      <w:r w:rsidR="00815D2B">
        <w:rPr>
          <w:i/>
        </w:rPr>
        <w:t xml:space="preserve"> </w:t>
      </w:r>
      <w:r w:rsidR="00815D2B">
        <w:t>(11.353)</w:t>
      </w:r>
      <w:r w:rsidR="00815D2B" w:rsidRPr="00ED10D6">
        <w:t xml:space="preserve">. </w:t>
      </w:r>
      <w:r w:rsidR="00815D2B">
        <w:t xml:space="preserve">Antigone </w:t>
      </w:r>
      <w:r w:rsidR="00B7738B">
        <w:t>tells Polynices</w:t>
      </w:r>
      <w:r w:rsidR="00815D2B" w:rsidRPr="00ED10D6">
        <w:t xml:space="preserve"> that </w:t>
      </w:r>
      <w:r w:rsidR="00815D2B">
        <w:t>their mother’s</w:t>
      </w:r>
      <w:r w:rsidR="00815D2B" w:rsidRPr="00ED10D6">
        <w:t xml:space="preserve"> speech </w:t>
      </w:r>
      <w:r w:rsidR="00815D2B">
        <w:t>has persuaded their brother</w:t>
      </w:r>
      <w:r w:rsidR="00B7738B">
        <w:t xml:space="preserve"> and </w:t>
      </w:r>
      <w:r w:rsidR="00815D2B">
        <w:t>points out that Eteocles does not come to the challenge</w:t>
      </w:r>
      <w:r w:rsidR="00B7738B">
        <w:t xml:space="preserve">. This </w:t>
      </w:r>
      <w:r w:rsidR="00815D2B">
        <w:t>move</w:t>
      </w:r>
      <w:r w:rsidR="00B7738B">
        <w:t>s</w:t>
      </w:r>
      <w:r w:rsidR="00815D2B">
        <w:t xml:space="preserve"> Polynices to</w:t>
      </w:r>
      <w:r>
        <w:t xml:space="preserve"> lower his sword and weep</w:t>
      </w:r>
      <w:r w:rsidR="00815D2B">
        <w:t>. Eteoc</w:t>
      </w:r>
      <w:r w:rsidR="00815D2B" w:rsidRPr="00ED10D6">
        <w:t>les</w:t>
      </w:r>
      <w:r w:rsidR="00815D2B">
        <w:t>, however,</w:t>
      </w:r>
      <w:r w:rsidR="00815D2B" w:rsidRPr="00ED10D6">
        <w:t xml:space="preserve"> arrives </w:t>
      </w:r>
      <w:r w:rsidR="00815D2B">
        <w:t xml:space="preserve">suddenly </w:t>
      </w:r>
      <w:r w:rsidR="00815D2B" w:rsidRPr="00ED10D6">
        <w:t>and the duel</w:t>
      </w:r>
      <w:r w:rsidR="00815D2B">
        <w:t xml:space="preserve"> begins</w:t>
      </w:r>
      <w:r w:rsidR="00815D2B" w:rsidRPr="00ED10D6">
        <w:t>.</w:t>
      </w:r>
      <w:r w:rsidR="00815D2B">
        <w:t xml:space="preserve"> As Vessey notes, Statius’ revision increases tension and suspense but does not </w:t>
      </w:r>
      <w:r w:rsidR="00B7738B">
        <w:t xml:space="preserve">elaborate on </w:t>
      </w:r>
      <w:r w:rsidR="00815D2B">
        <w:t>how this is achieved.</w:t>
      </w:r>
      <w:r w:rsidR="00815D2B">
        <w:rPr>
          <w:rStyle w:val="EndnoteReference"/>
        </w:rPr>
        <w:endnoteReference w:id="6"/>
      </w:r>
      <w:r w:rsidR="00815D2B">
        <w:t xml:space="preserve"> </w:t>
      </w:r>
    </w:p>
    <w:p w:rsidR="00815D2B" w:rsidRDefault="00815D2B" w:rsidP="00A43BB5">
      <w:pPr>
        <w:autoSpaceDE w:val="0"/>
        <w:autoSpaceDN w:val="0"/>
        <w:adjustRightInd w:val="0"/>
        <w:ind w:firstLine="720"/>
      </w:pPr>
      <w:r>
        <w:t>T</w:t>
      </w:r>
      <w:r w:rsidRPr="00ED10D6">
        <w:t>he division of Iocasta’s efforts to intercede</w:t>
      </w:r>
      <w:r>
        <w:t xml:space="preserve"> between Polynices and Eteocles with a sudden leap to the duel </w:t>
      </w:r>
      <w:r w:rsidRPr="00ED10D6">
        <w:t xml:space="preserve">elides the point at which the brothers are </w:t>
      </w:r>
      <w:r>
        <w:t>actually brought together with Iocasta to refuse terms</w:t>
      </w:r>
      <w:r w:rsidR="00B7738B">
        <w:t xml:space="preserve">. </w:t>
      </w:r>
      <w:r>
        <w:t>T</w:t>
      </w:r>
      <w:r w:rsidRPr="00ED10D6">
        <w:t>he trajectory</w:t>
      </w:r>
      <w:r w:rsidR="00B7738B">
        <w:t xml:space="preserve"> of Statius’ </w:t>
      </w:r>
      <w:r w:rsidR="00B7738B" w:rsidRPr="00B7738B">
        <w:rPr>
          <w:i/>
        </w:rPr>
        <w:t>Thebaid</w:t>
      </w:r>
      <w:r w:rsidR="00B7738B">
        <w:t xml:space="preserve"> is so seamless that we hardly notice</w:t>
      </w:r>
      <w:r w:rsidRPr="00ED10D6">
        <w:t xml:space="preserve"> that the </w:t>
      </w:r>
      <w:r>
        <w:t>time for her tragic</w:t>
      </w:r>
      <w:r w:rsidRPr="00ED10D6">
        <w:t xml:space="preserve"> intercession </w:t>
      </w:r>
      <w:r>
        <w:t xml:space="preserve">has passed. This produces an unsettling conflict to the reader’s script </w:t>
      </w:r>
      <w:r w:rsidR="00B7738B">
        <w:t xml:space="preserve">and raises </w:t>
      </w:r>
      <w:r>
        <w:t>the possibility</w:t>
      </w:r>
      <w:r w:rsidR="002E4D12">
        <w:t>, though briefly,</w:t>
      </w:r>
      <w:r>
        <w:t xml:space="preserve"> of alternate outcomes.  Suppose Antigone is trut</w:t>
      </w:r>
      <w:r w:rsidR="002E4D12">
        <w:t>hful in her claims to Polyinces, a</w:t>
      </w:r>
      <w:r>
        <w:t xml:space="preserve">t this point the reader </w:t>
      </w:r>
      <w:r w:rsidR="002E4D12">
        <w:t>can only anticipate</w:t>
      </w:r>
      <w:r>
        <w:t xml:space="preserve"> further delay so the brothers can come together </w:t>
      </w:r>
      <w:r w:rsidR="002E4D12">
        <w:t>with</w:t>
      </w:r>
      <w:r>
        <w:t xml:space="preserve"> Io</w:t>
      </w:r>
      <w:r w:rsidR="002E4D12">
        <w:t xml:space="preserve">casta, or speculate that </w:t>
      </w:r>
      <w:r>
        <w:t>an unsatisfactory truce</w:t>
      </w:r>
      <w:r w:rsidR="002E4D12">
        <w:t xml:space="preserve"> is about to be reached</w:t>
      </w:r>
      <w:r>
        <w:t xml:space="preserve">. Of course, as quickly as the uncertainty arises, it is resolved. </w:t>
      </w:r>
      <w:r w:rsidRPr="000D447C">
        <w:t xml:space="preserve">Nevertheless, </w:t>
      </w:r>
      <w:r w:rsidR="00B7738B">
        <w:t>in</w:t>
      </w:r>
      <w:r w:rsidRPr="000D447C">
        <w:t xml:space="preserve"> this breach of a traditional narrative sequence Statius achieves the uncertainty needed to make his revision of </w:t>
      </w:r>
      <w:r>
        <w:t xml:space="preserve">the events leading to the duel </w:t>
      </w:r>
      <w:r w:rsidRPr="000D447C">
        <w:t>suspenseful</w:t>
      </w:r>
      <w:r w:rsidR="002E4D12">
        <w:t xml:space="preserve"> and compelling</w:t>
      </w:r>
      <w:r w:rsidRPr="000D447C">
        <w:t>.</w:t>
      </w:r>
    </w:p>
    <w:p w:rsidR="00B7738B" w:rsidRDefault="00B7738B" w:rsidP="00A43BB5">
      <w:pPr>
        <w:autoSpaceDE w:val="0"/>
        <w:autoSpaceDN w:val="0"/>
        <w:adjustRightInd w:val="0"/>
        <w:ind w:firstLine="720"/>
      </w:pPr>
    </w:p>
    <w:sectPr w:rsidR="00B7738B" w:rsidSect="00A95C87">
      <w:endnotePr>
        <w:numFmt w:val="decimal"/>
      </w:endnotePr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0D7" w:rsidRDefault="003800D7" w:rsidP="00C60576">
      <w:r>
        <w:separator/>
      </w:r>
    </w:p>
  </w:endnote>
  <w:endnote w:type="continuationSeparator" w:id="0">
    <w:p w:rsidR="003800D7" w:rsidRDefault="003800D7" w:rsidP="00C60576">
      <w:r>
        <w:continuationSeparator/>
      </w:r>
    </w:p>
  </w:endnote>
  <w:endnote w:id="1">
    <w:p w:rsidR="00815D2B" w:rsidRPr="000D447C" w:rsidRDefault="00815D2B" w:rsidP="00815D2B">
      <w:pPr>
        <w:widowControl w:val="0"/>
        <w:autoSpaceDE w:val="0"/>
        <w:autoSpaceDN w:val="0"/>
        <w:adjustRightInd w:val="0"/>
      </w:pPr>
      <w:r w:rsidRPr="000D447C">
        <w:rPr>
          <w:rStyle w:val="EndnoteReference"/>
        </w:rPr>
        <w:endnoteRef/>
      </w:r>
      <w:r w:rsidRPr="000D447C">
        <w:t xml:space="preserve"> C</w:t>
      </w:r>
      <w:r>
        <w:t>ribiore</w:t>
      </w:r>
      <w:r w:rsidRPr="000D447C">
        <w:t>, R</w:t>
      </w:r>
      <w:r>
        <w:t>affaella (2001)</w:t>
      </w:r>
      <w:r w:rsidRPr="000D447C">
        <w:t xml:space="preserve"> ‘The Grammarian’s Choice: The Popularity of Euripides’</w:t>
      </w:r>
    </w:p>
    <w:p w:rsidR="00815D2B" w:rsidRPr="000D447C" w:rsidRDefault="00815D2B" w:rsidP="00815D2B">
      <w:pPr>
        <w:widowControl w:val="0"/>
        <w:autoSpaceDE w:val="0"/>
        <w:autoSpaceDN w:val="0"/>
        <w:adjustRightInd w:val="0"/>
      </w:pPr>
      <w:r w:rsidRPr="002E4D12">
        <w:rPr>
          <w:i/>
        </w:rPr>
        <w:t>Phoenissae</w:t>
      </w:r>
      <w:r w:rsidRPr="000D447C">
        <w:t xml:space="preserve"> in Hellenistic and Roman Education’, in: T</w:t>
      </w:r>
      <w:r>
        <w:t>oo, Yun Lee (Ed.)</w:t>
      </w:r>
      <w:r w:rsidRPr="000D447C">
        <w:t xml:space="preserve">, </w:t>
      </w:r>
      <w:r w:rsidRPr="000D447C">
        <w:rPr>
          <w:i/>
        </w:rPr>
        <w:t>Education in Greek and Roman Antiquity</w:t>
      </w:r>
      <w:r>
        <w:t>. Brill</w:t>
      </w:r>
      <w:r w:rsidR="00F86827">
        <w:t>,</w:t>
      </w:r>
      <w:r w:rsidRPr="000D447C">
        <w:t xml:space="preserve"> </w:t>
      </w:r>
      <w:r w:rsidR="00F86827">
        <w:t>p</w:t>
      </w:r>
      <w:r w:rsidRPr="000D447C">
        <w:t>p. 241–259 and B</w:t>
      </w:r>
      <w:r>
        <w:t xml:space="preserve">remer, J.M. (1985) </w:t>
      </w:r>
      <w:r w:rsidRPr="000D447C">
        <w:t xml:space="preserve">‘The Popularity of Eurpides’ </w:t>
      </w:r>
      <w:r w:rsidRPr="000D447C">
        <w:rPr>
          <w:i/>
        </w:rPr>
        <w:t>Phoinissae</w:t>
      </w:r>
      <w:r w:rsidRPr="000D447C">
        <w:t xml:space="preserve"> in Late Antiquity’, in: </w:t>
      </w:r>
      <w:r w:rsidRPr="000D447C">
        <w:rPr>
          <w:i/>
        </w:rPr>
        <w:t>Actes du congres VII de la FIEC</w:t>
      </w:r>
      <w:r w:rsidR="00F86827">
        <w:t>, p</w:t>
      </w:r>
      <w:r w:rsidRPr="000D447C">
        <w:t>p. 287–8.</w:t>
      </w:r>
    </w:p>
    <w:p w:rsidR="00815D2B" w:rsidRPr="000D447C" w:rsidRDefault="00815D2B" w:rsidP="00815D2B">
      <w:pPr>
        <w:pStyle w:val="EndnoteText"/>
      </w:pPr>
    </w:p>
  </w:endnote>
  <w:endnote w:id="2">
    <w:p w:rsidR="00CF3AF1" w:rsidRPr="000D447C" w:rsidRDefault="00CF3AF1">
      <w:pPr>
        <w:pStyle w:val="EndnoteText"/>
      </w:pPr>
      <w:r w:rsidRPr="000D447C">
        <w:rPr>
          <w:rStyle w:val="EndnoteReference"/>
        </w:rPr>
        <w:endnoteRef/>
      </w:r>
      <w:r w:rsidRPr="000D447C">
        <w:t xml:space="preserve"> </w:t>
      </w:r>
      <w:r w:rsidR="003420A9" w:rsidRPr="000D447C">
        <w:t xml:space="preserve">In </w:t>
      </w:r>
      <w:r w:rsidR="000D447C" w:rsidRPr="000D447C">
        <w:t>agreeing on</w:t>
      </w:r>
      <w:r w:rsidR="003420A9" w:rsidRPr="000D447C">
        <w:t xml:space="preserve"> a definition of suspense, the majority of theorists accept that </w:t>
      </w:r>
      <w:r w:rsidR="00932D77" w:rsidRPr="000D447C">
        <w:t>of</w:t>
      </w:r>
      <w:r w:rsidR="003420A9" w:rsidRPr="000D447C">
        <w:t xml:space="preserve"> Ortony et al. </w:t>
      </w:r>
      <w:r w:rsidR="000D447C">
        <w:rPr>
          <w:rStyle w:val="apple-style-span"/>
          <w:color w:val="000000"/>
        </w:rPr>
        <w:t>(1998)</w:t>
      </w:r>
      <w:r w:rsidR="003420A9" w:rsidRPr="000D447C">
        <w:rPr>
          <w:rStyle w:val="apple-converted-space"/>
          <w:color w:val="000000"/>
        </w:rPr>
        <w:t> </w:t>
      </w:r>
      <w:r w:rsidR="003420A9" w:rsidRPr="000D447C">
        <w:rPr>
          <w:rStyle w:val="Emphasis"/>
          <w:color w:val="000000"/>
        </w:rPr>
        <w:t>The Cognitive Structure of Emotions</w:t>
      </w:r>
      <w:r w:rsidR="003420A9" w:rsidRPr="000D447C">
        <w:rPr>
          <w:rStyle w:val="apple-style-span"/>
          <w:color w:val="000000"/>
        </w:rPr>
        <w:t>, Cambri</w:t>
      </w:r>
      <w:r w:rsidR="00F86827">
        <w:rPr>
          <w:rStyle w:val="apple-style-span"/>
          <w:color w:val="000000"/>
        </w:rPr>
        <w:t>dge: Cambridge University Press, p</w:t>
      </w:r>
      <w:r w:rsidR="003420A9" w:rsidRPr="000D447C">
        <w:rPr>
          <w:rStyle w:val="apple-style-span"/>
          <w:color w:val="000000"/>
        </w:rPr>
        <w:t>.131</w:t>
      </w:r>
      <w:r w:rsidR="003420A9" w:rsidRPr="000D447C">
        <w:t xml:space="preserve">. </w:t>
      </w:r>
    </w:p>
    <w:p w:rsidR="003420A9" w:rsidRPr="000D447C" w:rsidRDefault="003420A9">
      <w:pPr>
        <w:pStyle w:val="EndnoteText"/>
      </w:pPr>
    </w:p>
  </w:endnote>
  <w:endnote w:id="3">
    <w:p w:rsidR="007137DD" w:rsidRPr="000D447C" w:rsidRDefault="007137DD" w:rsidP="007137DD">
      <w:r w:rsidRPr="000D447C">
        <w:rPr>
          <w:rStyle w:val="EndnoteReference"/>
        </w:rPr>
        <w:endnoteRef/>
      </w:r>
      <w:r w:rsidRPr="000D447C">
        <w:t xml:space="preserve"> </w:t>
      </w:r>
      <w:r>
        <w:t xml:space="preserve">See Herman, David (2002) </w:t>
      </w:r>
      <w:r w:rsidRPr="0053249D">
        <w:rPr>
          <w:i/>
        </w:rPr>
        <w:t>Story Logic</w:t>
      </w:r>
      <w:r>
        <w:rPr>
          <w:i/>
        </w:rPr>
        <w:t>: Problems and Possibilities of Narrative</w:t>
      </w:r>
      <w:r>
        <w:t>, Lincoln:</w:t>
      </w:r>
      <w:r w:rsidR="00F86827">
        <w:t xml:space="preserve"> University of Nebraska Press, p</w:t>
      </w:r>
      <w:r>
        <w:t>p.85-113.</w:t>
      </w:r>
    </w:p>
    <w:p w:rsidR="007137DD" w:rsidRPr="000D447C" w:rsidRDefault="007137DD" w:rsidP="007137DD"/>
  </w:endnote>
  <w:endnote w:id="4">
    <w:p w:rsidR="00EE5714" w:rsidRPr="000D447C" w:rsidRDefault="00EE5714" w:rsidP="00EE5714">
      <w:pPr>
        <w:pStyle w:val="EndnoteText"/>
      </w:pPr>
      <w:r w:rsidRPr="000D447C">
        <w:rPr>
          <w:rStyle w:val="EndnoteReference"/>
        </w:rPr>
        <w:endnoteRef/>
      </w:r>
      <w:r>
        <w:t xml:space="preserve"> See </w:t>
      </w:r>
      <w:r w:rsidRPr="000D447C">
        <w:t>Bruner</w:t>
      </w:r>
      <w:r>
        <w:t>, Jerome</w:t>
      </w:r>
      <w:r w:rsidRPr="000D447C">
        <w:t xml:space="preserve"> </w:t>
      </w:r>
      <w:r>
        <w:t>(</w:t>
      </w:r>
      <w:r w:rsidRPr="000D447C">
        <w:t>1991</w:t>
      </w:r>
      <w:r>
        <w:t xml:space="preserve">) ‘The Narrative Construction of Reality’, </w:t>
      </w:r>
      <w:r>
        <w:rPr>
          <w:i/>
        </w:rPr>
        <w:t>Critical Inquiry</w:t>
      </w:r>
      <w:r w:rsidR="00F86827">
        <w:t xml:space="preserve"> 18, p</w:t>
      </w:r>
      <w:r>
        <w:t>p. 11-13.</w:t>
      </w:r>
    </w:p>
    <w:p w:rsidR="00EE5714" w:rsidRPr="000D447C" w:rsidRDefault="00EE5714" w:rsidP="00EE5714">
      <w:pPr>
        <w:pStyle w:val="EndnoteText"/>
      </w:pPr>
    </w:p>
  </w:endnote>
  <w:endnote w:id="5">
    <w:p w:rsidR="00B7738B" w:rsidRPr="000D447C" w:rsidRDefault="00B7738B" w:rsidP="00B7738B">
      <w:pPr>
        <w:widowControl w:val="0"/>
        <w:autoSpaceDE w:val="0"/>
        <w:autoSpaceDN w:val="0"/>
        <w:adjustRightInd w:val="0"/>
      </w:pPr>
      <w:r w:rsidRPr="000D447C">
        <w:rPr>
          <w:rStyle w:val="EndnoteReference"/>
        </w:rPr>
        <w:endnoteRef/>
      </w:r>
      <w:r>
        <w:t xml:space="preserve"> Bremer</w:t>
      </w:r>
      <w:r w:rsidRPr="000D447C">
        <w:t xml:space="preserve"> (1987) ‘The Lille Papyrus’, in: B</w:t>
      </w:r>
      <w:r>
        <w:t xml:space="preserve">remer, et al. (Eds.) </w:t>
      </w:r>
      <w:r w:rsidRPr="000D447C">
        <w:rPr>
          <w:i/>
        </w:rPr>
        <w:t>Some Recently Found Greek Poems. Text and Commentary</w:t>
      </w:r>
      <w:r>
        <w:t xml:space="preserve">. </w:t>
      </w:r>
      <w:r w:rsidRPr="000D447C">
        <w:t xml:space="preserve">Brill, </w:t>
      </w:r>
      <w:r w:rsidR="00F86827">
        <w:t>p</w:t>
      </w:r>
      <w:r>
        <w:t xml:space="preserve">. </w:t>
      </w:r>
      <w:r w:rsidRPr="000D447C">
        <w:t>172.</w:t>
      </w:r>
    </w:p>
    <w:p w:rsidR="00B7738B" w:rsidRPr="000D447C" w:rsidRDefault="00B7738B" w:rsidP="00B7738B">
      <w:pPr>
        <w:widowControl w:val="0"/>
        <w:autoSpaceDE w:val="0"/>
        <w:autoSpaceDN w:val="0"/>
        <w:adjustRightInd w:val="0"/>
      </w:pPr>
    </w:p>
  </w:endnote>
  <w:endnote w:id="6">
    <w:p w:rsidR="00815D2B" w:rsidRPr="0053249D" w:rsidRDefault="00815D2B" w:rsidP="00815D2B">
      <w:pPr>
        <w:pStyle w:val="EndnoteText"/>
      </w:pPr>
      <w:r w:rsidRPr="000D447C">
        <w:rPr>
          <w:rStyle w:val="EndnoteReference"/>
        </w:rPr>
        <w:endnoteRef/>
      </w:r>
      <w:r w:rsidRPr="000D447C">
        <w:t xml:space="preserve"> Vessey</w:t>
      </w:r>
      <w:r>
        <w:t xml:space="preserve">. David (1973) </w:t>
      </w:r>
      <w:r>
        <w:rPr>
          <w:i/>
        </w:rPr>
        <w:t>Statius and the Thebaid</w:t>
      </w:r>
      <w:r>
        <w:t>, Cambri</w:t>
      </w:r>
      <w:r w:rsidR="00F86827">
        <w:t>dge: Cambridge University Press, p</w:t>
      </w:r>
      <w:r>
        <w:t>.</w:t>
      </w:r>
      <w:r w:rsidR="00F86827">
        <w:t xml:space="preserve"> </w:t>
      </w:r>
      <w:r>
        <w:t>271.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0D7" w:rsidRDefault="003800D7" w:rsidP="00C60576">
      <w:r>
        <w:separator/>
      </w:r>
    </w:p>
  </w:footnote>
  <w:footnote w:type="continuationSeparator" w:id="0">
    <w:p w:rsidR="003800D7" w:rsidRDefault="003800D7" w:rsidP="00C60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147D04"/>
    <w:rsid w:val="00001B85"/>
    <w:rsid w:val="000320FC"/>
    <w:rsid w:val="000740A4"/>
    <w:rsid w:val="000C4177"/>
    <w:rsid w:val="000D447C"/>
    <w:rsid w:val="00142E9B"/>
    <w:rsid w:val="00147D04"/>
    <w:rsid w:val="001844B8"/>
    <w:rsid w:val="00194F5E"/>
    <w:rsid w:val="001F6B0E"/>
    <w:rsid w:val="00206233"/>
    <w:rsid w:val="0023156E"/>
    <w:rsid w:val="002423E3"/>
    <w:rsid w:val="002800B6"/>
    <w:rsid w:val="002844F8"/>
    <w:rsid w:val="002A6950"/>
    <w:rsid w:val="002E4D12"/>
    <w:rsid w:val="00305B40"/>
    <w:rsid w:val="00325316"/>
    <w:rsid w:val="003420A9"/>
    <w:rsid w:val="003800D7"/>
    <w:rsid w:val="00380F30"/>
    <w:rsid w:val="0038155D"/>
    <w:rsid w:val="00395FA7"/>
    <w:rsid w:val="003A08D6"/>
    <w:rsid w:val="003A4C21"/>
    <w:rsid w:val="003D51B3"/>
    <w:rsid w:val="004631A0"/>
    <w:rsid w:val="0047403F"/>
    <w:rsid w:val="004770BF"/>
    <w:rsid w:val="004D57CD"/>
    <w:rsid w:val="005052FE"/>
    <w:rsid w:val="0053249D"/>
    <w:rsid w:val="005819C2"/>
    <w:rsid w:val="0058665A"/>
    <w:rsid w:val="005A1085"/>
    <w:rsid w:val="0064370C"/>
    <w:rsid w:val="00667B94"/>
    <w:rsid w:val="0067341D"/>
    <w:rsid w:val="006D7A73"/>
    <w:rsid w:val="006E7B3F"/>
    <w:rsid w:val="00701082"/>
    <w:rsid w:val="007137DD"/>
    <w:rsid w:val="007238A0"/>
    <w:rsid w:val="00776CA6"/>
    <w:rsid w:val="00781F06"/>
    <w:rsid w:val="007A5006"/>
    <w:rsid w:val="007B2AA9"/>
    <w:rsid w:val="007C2712"/>
    <w:rsid w:val="007C4D70"/>
    <w:rsid w:val="00815D2B"/>
    <w:rsid w:val="00832AD4"/>
    <w:rsid w:val="008629D4"/>
    <w:rsid w:val="008D04CD"/>
    <w:rsid w:val="008D0BD2"/>
    <w:rsid w:val="00912966"/>
    <w:rsid w:val="00916F61"/>
    <w:rsid w:val="00921ED6"/>
    <w:rsid w:val="0092633A"/>
    <w:rsid w:val="00931B63"/>
    <w:rsid w:val="00932D77"/>
    <w:rsid w:val="0098695F"/>
    <w:rsid w:val="009E67F9"/>
    <w:rsid w:val="00A43BB5"/>
    <w:rsid w:val="00A62048"/>
    <w:rsid w:val="00A72A60"/>
    <w:rsid w:val="00A95C87"/>
    <w:rsid w:val="00AA2E87"/>
    <w:rsid w:val="00AE7CDE"/>
    <w:rsid w:val="00B01BEF"/>
    <w:rsid w:val="00B242FC"/>
    <w:rsid w:val="00B32902"/>
    <w:rsid w:val="00B62552"/>
    <w:rsid w:val="00B67E3B"/>
    <w:rsid w:val="00B7738B"/>
    <w:rsid w:val="00B8048A"/>
    <w:rsid w:val="00BA767F"/>
    <w:rsid w:val="00BD4130"/>
    <w:rsid w:val="00C23C57"/>
    <w:rsid w:val="00C60576"/>
    <w:rsid w:val="00C7473B"/>
    <w:rsid w:val="00C82D65"/>
    <w:rsid w:val="00C84444"/>
    <w:rsid w:val="00CE439E"/>
    <w:rsid w:val="00CF3AF1"/>
    <w:rsid w:val="00CF3B24"/>
    <w:rsid w:val="00D13E4B"/>
    <w:rsid w:val="00D371A2"/>
    <w:rsid w:val="00D547E3"/>
    <w:rsid w:val="00D91B7E"/>
    <w:rsid w:val="00D92971"/>
    <w:rsid w:val="00DB1DA8"/>
    <w:rsid w:val="00E40E1D"/>
    <w:rsid w:val="00E97DD8"/>
    <w:rsid w:val="00EA320A"/>
    <w:rsid w:val="00ED10D6"/>
    <w:rsid w:val="00EE5714"/>
    <w:rsid w:val="00F063D1"/>
    <w:rsid w:val="00F16C5F"/>
    <w:rsid w:val="00F86827"/>
    <w:rsid w:val="00FA39A2"/>
    <w:rsid w:val="00FB2198"/>
    <w:rsid w:val="00FC184C"/>
    <w:rsid w:val="00FD0D94"/>
    <w:rsid w:val="00FD4880"/>
  </w:rsids>
  <m:mathPr>
    <m:mathFont m:val="Classical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95C8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057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576"/>
  </w:style>
  <w:style w:type="paragraph" w:styleId="Footer">
    <w:name w:val="footer"/>
    <w:basedOn w:val="Normal"/>
    <w:link w:val="FooterChar"/>
    <w:uiPriority w:val="99"/>
    <w:semiHidden/>
    <w:unhideWhenUsed/>
    <w:rsid w:val="00C6057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0576"/>
  </w:style>
  <w:style w:type="paragraph" w:styleId="NormalWeb">
    <w:name w:val="Normal (Web)"/>
    <w:basedOn w:val="Normal"/>
    <w:uiPriority w:val="99"/>
    <w:rsid w:val="00C82D65"/>
    <w:pPr>
      <w:spacing w:before="100" w:beforeAutospacing="1" w:after="100" w:afterAutospacing="1"/>
    </w:pPr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C82D65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2D65"/>
    <w:rPr>
      <w:rFonts w:eastAsia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82D65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2FE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2FE"/>
  </w:style>
  <w:style w:type="character" w:styleId="EndnoteReference">
    <w:name w:val="endnote reference"/>
    <w:basedOn w:val="DefaultParagraphFont"/>
    <w:uiPriority w:val="99"/>
    <w:semiHidden/>
    <w:unhideWhenUsed/>
    <w:rsid w:val="005052FE"/>
    <w:rPr>
      <w:vertAlign w:val="superscript"/>
    </w:rPr>
  </w:style>
  <w:style w:type="character" w:customStyle="1" w:styleId="apple-style-span">
    <w:name w:val="apple-style-span"/>
    <w:basedOn w:val="DefaultParagraphFont"/>
    <w:rsid w:val="003420A9"/>
  </w:style>
  <w:style w:type="character" w:customStyle="1" w:styleId="apple-converted-space">
    <w:name w:val="apple-converted-space"/>
    <w:basedOn w:val="DefaultParagraphFont"/>
    <w:rsid w:val="003420A9"/>
  </w:style>
  <w:style w:type="character" w:styleId="Emphasis">
    <w:name w:val="Emphasis"/>
    <w:basedOn w:val="DefaultParagraphFont"/>
    <w:uiPriority w:val="20"/>
    <w:qFormat/>
    <w:rsid w:val="003420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057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576"/>
  </w:style>
  <w:style w:type="paragraph" w:styleId="Footer">
    <w:name w:val="footer"/>
    <w:basedOn w:val="Normal"/>
    <w:link w:val="FooterChar"/>
    <w:uiPriority w:val="99"/>
    <w:semiHidden/>
    <w:unhideWhenUsed/>
    <w:rsid w:val="00C6057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0576"/>
  </w:style>
  <w:style w:type="paragraph" w:styleId="NormalWeb">
    <w:name w:val="Normal (Web)"/>
    <w:basedOn w:val="Normal"/>
    <w:uiPriority w:val="99"/>
    <w:rsid w:val="00C82D65"/>
    <w:pPr>
      <w:spacing w:before="100" w:beforeAutospacing="1" w:after="100" w:afterAutospacing="1"/>
    </w:pPr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C82D65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2D65"/>
    <w:rPr>
      <w:rFonts w:eastAsia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82D65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2FE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2FE"/>
  </w:style>
  <w:style w:type="character" w:styleId="EndnoteReference">
    <w:name w:val="endnote reference"/>
    <w:basedOn w:val="DefaultParagraphFont"/>
    <w:uiPriority w:val="99"/>
    <w:semiHidden/>
    <w:unhideWhenUsed/>
    <w:rsid w:val="005052FE"/>
    <w:rPr>
      <w:vertAlign w:val="superscript"/>
    </w:rPr>
  </w:style>
  <w:style w:type="character" w:customStyle="1" w:styleId="apple-style-span">
    <w:name w:val="apple-style-span"/>
    <w:basedOn w:val="DefaultParagraphFont"/>
    <w:rsid w:val="003420A9"/>
  </w:style>
  <w:style w:type="character" w:customStyle="1" w:styleId="apple-converted-space">
    <w:name w:val="apple-converted-space"/>
    <w:basedOn w:val="DefaultParagraphFont"/>
    <w:rsid w:val="003420A9"/>
  </w:style>
  <w:style w:type="character" w:styleId="Emphasis">
    <w:name w:val="Emphasis"/>
    <w:basedOn w:val="DefaultParagraphFont"/>
    <w:uiPriority w:val="20"/>
    <w:qFormat/>
    <w:rsid w:val="003420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9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D175-CB26-534C-9D60-902CF7A0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3009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Information and Instructional Technologies</cp:lastModifiedBy>
  <cp:revision>3</cp:revision>
  <cp:lastPrinted>2011-04-25T00:31:00Z</cp:lastPrinted>
  <dcterms:created xsi:type="dcterms:W3CDTF">2011-09-14T15:26:00Z</dcterms:created>
  <dcterms:modified xsi:type="dcterms:W3CDTF">2011-12-01T00:24:00Z</dcterms:modified>
</cp:coreProperties>
</file>