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9B" w:rsidRDefault="0066779A" w:rsidP="00AC7AEA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1F18">
        <w:rPr>
          <w:rFonts w:ascii="Times New Roman" w:hAnsi="Times New Roman" w:cs="Times New Roman"/>
          <w:sz w:val="24"/>
          <w:szCs w:val="24"/>
        </w:rPr>
        <w:t xml:space="preserve">Epilepsy and Etruscan </w:t>
      </w:r>
      <w:r w:rsidR="00A978AF" w:rsidRPr="00E71F18">
        <w:rPr>
          <w:rFonts w:ascii="Times New Roman" w:hAnsi="Times New Roman" w:cs="Times New Roman"/>
          <w:sz w:val="24"/>
          <w:szCs w:val="24"/>
        </w:rPr>
        <w:t xml:space="preserve">Religious </w:t>
      </w:r>
      <w:r w:rsidRPr="00E71F18">
        <w:rPr>
          <w:rFonts w:ascii="Times New Roman" w:hAnsi="Times New Roman" w:cs="Times New Roman"/>
          <w:sz w:val="24"/>
          <w:szCs w:val="24"/>
        </w:rPr>
        <w:t>Practice</w:t>
      </w:r>
    </w:p>
    <w:p w:rsidR="00F010B4" w:rsidRPr="00E71F18" w:rsidRDefault="00F010B4" w:rsidP="00AC7AEA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30D81" w:rsidRDefault="00693184" w:rsidP="00AC7AE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</w:t>
      </w:r>
      <w:r w:rsidR="00530D81">
        <w:rPr>
          <w:rFonts w:ascii="Times New Roman" w:hAnsi="Times New Roman" w:cs="Times New Roman"/>
          <w:sz w:val="24"/>
          <w:szCs w:val="24"/>
        </w:rPr>
        <w:t>he inhabitants of the classical world generally r</w:t>
      </w:r>
      <w:r w:rsidR="00A90F77">
        <w:rPr>
          <w:rFonts w:ascii="Times New Roman" w:hAnsi="Times New Roman" w:cs="Times New Roman"/>
          <w:sz w:val="24"/>
          <w:szCs w:val="24"/>
        </w:rPr>
        <w:t>egarded epilepsy with fear</w:t>
      </w:r>
      <w:r w:rsidR="00B320E6">
        <w:rPr>
          <w:rFonts w:ascii="Times New Roman" w:hAnsi="Times New Roman" w:cs="Times New Roman"/>
          <w:sz w:val="24"/>
          <w:szCs w:val="24"/>
        </w:rPr>
        <w:t xml:space="preserve"> and suspicion.  They attributed</w:t>
      </w:r>
      <w:r w:rsidR="00530D81">
        <w:rPr>
          <w:rFonts w:ascii="Times New Roman" w:hAnsi="Times New Roman" w:cs="Times New Roman"/>
          <w:sz w:val="24"/>
          <w:szCs w:val="24"/>
        </w:rPr>
        <w:t xml:space="preserve"> a divine origin</w:t>
      </w:r>
      <w:r w:rsidR="000C1D67">
        <w:rPr>
          <w:rFonts w:ascii="Times New Roman" w:hAnsi="Times New Roman" w:cs="Times New Roman"/>
          <w:sz w:val="24"/>
          <w:szCs w:val="24"/>
        </w:rPr>
        <w:t xml:space="preserve"> to this disease</w:t>
      </w:r>
      <w:r w:rsidR="00557CEA">
        <w:rPr>
          <w:rFonts w:ascii="Times New Roman" w:hAnsi="Times New Roman" w:cs="Times New Roman"/>
          <w:sz w:val="24"/>
          <w:szCs w:val="24"/>
        </w:rPr>
        <w:t xml:space="preserve"> and </w:t>
      </w:r>
      <w:r w:rsidR="003613E8">
        <w:rPr>
          <w:rFonts w:ascii="Times New Roman" w:hAnsi="Times New Roman" w:cs="Times New Roman"/>
          <w:sz w:val="24"/>
          <w:szCs w:val="24"/>
        </w:rPr>
        <w:t>sometimes ascribed s</w:t>
      </w:r>
      <w:r w:rsidR="00557CEA">
        <w:rPr>
          <w:rFonts w:ascii="Times New Roman" w:hAnsi="Times New Roman" w:cs="Times New Roman"/>
          <w:sz w:val="24"/>
          <w:szCs w:val="24"/>
        </w:rPr>
        <w:t>eizures to a divine presence taking hold of the afflicted.</w:t>
      </w:r>
      <w:r w:rsidR="000C1D67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BA238A">
        <w:rPr>
          <w:rFonts w:ascii="Times New Roman" w:hAnsi="Times New Roman" w:cs="Times New Roman"/>
          <w:sz w:val="24"/>
          <w:szCs w:val="24"/>
        </w:rPr>
        <w:t xml:space="preserve"> </w:t>
      </w:r>
      <w:r w:rsidR="004860BB">
        <w:rPr>
          <w:rFonts w:ascii="Times New Roman" w:hAnsi="Times New Roman" w:cs="Times New Roman"/>
          <w:sz w:val="24"/>
          <w:szCs w:val="24"/>
        </w:rPr>
        <w:t xml:space="preserve"> H</w:t>
      </w:r>
      <w:r w:rsidR="000C1D67">
        <w:rPr>
          <w:rFonts w:ascii="Times New Roman" w:hAnsi="Times New Roman" w:cs="Times New Roman"/>
          <w:sz w:val="24"/>
          <w:szCs w:val="24"/>
        </w:rPr>
        <w:t>ippocrates</w:t>
      </w:r>
      <w:r w:rsidR="00557CEA">
        <w:rPr>
          <w:rFonts w:ascii="Times New Roman" w:hAnsi="Times New Roman" w:cs="Times New Roman"/>
          <w:sz w:val="24"/>
          <w:szCs w:val="24"/>
        </w:rPr>
        <w:t>, the most well-k</w:t>
      </w:r>
      <w:r w:rsidR="001A7F10">
        <w:rPr>
          <w:rFonts w:ascii="Times New Roman" w:hAnsi="Times New Roman" w:cs="Times New Roman"/>
          <w:sz w:val="24"/>
          <w:szCs w:val="24"/>
        </w:rPr>
        <w:t>nown ancient medical author</w:t>
      </w:r>
      <w:r w:rsidR="00557CEA">
        <w:rPr>
          <w:rFonts w:ascii="Times New Roman" w:hAnsi="Times New Roman" w:cs="Times New Roman"/>
          <w:sz w:val="24"/>
          <w:szCs w:val="24"/>
        </w:rPr>
        <w:t>,</w:t>
      </w:r>
      <w:r w:rsidR="000C1D67">
        <w:rPr>
          <w:rFonts w:ascii="Times New Roman" w:hAnsi="Times New Roman" w:cs="Times New Roman"/>
          <w:sz w:val="24"/>
          <w:szCs w:val="24"/>
        </w:rPr>
        <w:t xml:space="preserve"> sought to</w:t>
      </w:r>
      <w:r w:rsidR="001A7F10">
        <w:rPr>
          <w:rFonts w:ascii="Times New Roman" w:hAnsi="Times New Roman" w:cs="Times New Roman"/>
          <w:sz w:val="24"/>
          <w:szCs w:val="24"/>
        </w:rPr>
        <w:t xml:space="preserve"> dispel this </w:t>
      </w:r>
      <w:r w:rsidR="004860BB">
        <w:rPr>
          <w:rFonts w:ascii="Times New Roman" w:hAnsi="Times New Roman" w:cs="Times New Roman"/>
          <w:sz w:val="24"/>
          <w:szCs w:val="24"/>
        </w:rPr>
        <w:t xml:space="preserve">common misconception in his text, </w:t>
      </w:r>
      <w:r w:rsidR="004860BB">
        <w:rPr>
          <w:rFonts w:ascii="Times New Roman" w:hAnsi="Times New Roman" w:cs="Times New Roman"/>
          <w:i/>
          <w:sz w:val="24"/>
          <w:szCs w:val="24"/>
        </w:rPr>
        <w:t>On the Divine Madness</w:t>
      </w:r>
      <w:r w:rsidR="004860BB">
        <w:rPr>
          <w:rFonts w:ascii="Times New Roman" w:hAnsi="Times New Roman" w:cs="Times New Roman"/>
          <w:sz w:val="24"/>
          <w:szCs w:val="24"/>
        </w:rPr>
        <w:t>.</w:t>
      </w:r>
      <w:r w:rsidR="004860BB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C912A3">
        <w:rPr>
          <w:rFonts w:ascii="Times New Roman" w:hAnsi="Times New Roman" w:cs="Times New Roman"/>
          <w:sz w:val="24"/>
          <w:szCs w:val="24"/>
        </w:rPr>
        <w:t xml:space="preserve">  </w:t>
      </w:r>
      <w:r w:rsidR="003613E8">
        <w:rPr>
          <w:rFonts w:ascii="Times New Roman" w:hAnsi="Times New Roman" w:cs="Times New Roman"/>
          <w:sz w:val="24"/>
          <w:szCs w:val="24"/>
        </w:rPr>
        <w:t>This disease also gripped</w:t>
      </w:r>
      <w:bookmarkStart w:id="0" w:name="_GoBack"/>
      <w:bookmarkEnd w:id="0"/>
      <w:r w:rsidR="003613E8">
        <w:rPr>
          <w:rFonts w:ascii="Times New Roman" w:hAnsi="Times New Roman" w:cs="Times New Roman"/>
          <w:sz w:val="24"/>
          <w:szCs w:val="24"/>
        </w:rPr>
        <w:t xml:space="preserve"> the minds of the Romans, and i</w:t>
      </w:r>
      <w:r w:rsidR="000704F4">
        <w:rPr>
          <w:rFonts w:ascii="Times New Roman" w:hAnsi="Times New Roman" w:cs="Times New Roman"/>
          <w:sz w:val="24"/>
          <w:szCs w:val="24"/>
        </w:rPr>
        <w:t>t is likely that epilepsy afflicted several famous Romans</w:t>
      </w:r>
      <w:r w:rsidR="0036323B">
        <w:rPr>
          <w:rFonts w:ascii="Times New Roman" w:hAnsi="Times New Roman" w:cs="Times New Roman"/>
          <w:sz w:val="24"/>
          <w:szCs w:val="24"/>
        </w:rPr>
        <w:t xml:space="preserve"> including the dictator </w:t>
      </w:r>
      <w:r w:rsidR="000704F4" w:rsidRPr="0036323B">
        <w:rPr>
          <w:rFonts w:ascii="Times New Roman" w:hAnsi="Times New Roman" w:cs="Times New Roman"/>
          <w:sz w:val="24"/>
          <w:szCs w:val="24"/>
        </w:rPr>
        <w:t>Julius Caesar and</w:t>
      </w:r>
      <w:r w:rsidR="00BA238A">
        <w:rPr>
          <w:rFonts w:ascii="Times New Roman" w:hAnsi="Times New Roman" w:cs="Times New Roman"/>
          <w:sz w:val="24"/>
          <w:szCs w:val="24"/>
        </w:rPr>
        <w:t xml:space="preserve"> the emperor</w:t>
      </w:r>
      <w:r w:rsidR="0036323B">
        <w:rPr>
          <w:rFonts w:ascii="Times New Roman" w:hAnsi="Times New Roman" w:cs="Times New Roman"/>
          <w:sz w:val="24"/>
          <w:szCs w:val="24"/>
        </w:rPr>
        <w:t xml:space="preserve"> Caligul</w:t>
      </w:r>
      <w:r w:rsidR="000704F4" w:rsidRPr="0036323B">
        <w:rPr>
          <w:rFonts w:ascii="Times New Roman" w:hAnsi="Times New Roman" w:cs="Times New Roman"/>
          <w:sz w:val="24"/>
          <w:szCs w:val="24"/>
        </w:rPr>
        <w:t>a</w:t>
      </w:r>
      <w:r w:rsidR="0036323B">
        <w:rPr>
          <w:rFonts w:ascii="Times New Roman" w:hAnsi="Times New Roman" w:cs="Times New Roman"/>
          <w:sz w:val="24"/>
          <w:szCs w:val="24"/>
        </w:rPr>
        <w:t>.</w:t>
      </w:r>
      <w:r w:rsidR="0036323B" w:rsidRPr="0036323B">
        <w:rPr>
          <w:rStyle w:val="FootnoteReference"/>
          <w:rFonts w:ascii="Times New Roman" w:hAnsi="Times New Roman" w:cs="Times New Roman"/>
          <w:sz w:val="24"/>
          <w:szCs w:val="24"/>
        </w:rPr>
        <w:t xml:space="preserve"> </w:t>
      </w:r>
      <w:r w:rsidR="0036323B" w:rsidRPr="0036323B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0704F4">
        <w:rPr>
          <w:rFonts w:ascii="Times New Roman" w:hAnsi="Times New Roman" w:cs="Times New Roman"/>
          <w:sz w:val="24"/>
          <w:szCs w:val="24"/>
        </w:rPr>
        <w:t xml:space="preserve"> </w:t>
      </w:r>
      <w:r w:rsidR="0036323B">
        <w:rPr>
          <w:rFonts w:ascii="Times New Roman" w:hAnsi="Times New Roman" w:cs="Times New Roman"/>
          <w:sz w:val="24"/>
          <w:szCs w:val="24"/>
        </w:rPr>
        <w:t xml:space="preserve"> </w:t>
      </w:r>
      <w:r w:rsidR="0066779A">
        <w:rPr>
          <w:rFonts w:ascii="Times New Roman" w:hAnsi="Times New Roman" w:cs="Times New Roman"/>
          <w:sz w:val="24"/>
          <w:szCs w:val="24"/>
        </w:rPr>
        <w:t>We are not limited, though, to Greek and Roman evidence for the classical perception of this disease</w:t>
      </w:r>
      <w:r w:rsidR="0036323B">
        <w:rPr>
          <w:rFonts w:ascii="Times New Roman" w:hAnsi="Times New Roman" w:cs="Times New Roman"/>
          <w:sz w:val="24"/>
          <w:szCs w:val="24"/>
        </w:rPr>
        <w:t xml:space="preserve">, and I would argue that the </w:t>
      </w:r>
      <w:r w:rsidR="0066779A">
        <w:rPr>
          <w:rFonts w:ascii="Times New Roman" w:hAnsi="Times New Roman" w:cs="Times New Roman"/>
          <w:sz w:val="24"/>
          <w:szCs w:val="24"/>
        </w:rPr>
        <w:t>Etruscans</w:t>
      </w:r>
      <w:r w:rsidR="0036323B">
        <w:rPr>
          <w:rFonts w:ascii="Times New Roman" w:hAnsi="Times New Roman" w:cs="Times New Roman"/>
          <w:sz w:val="24"/>
          <w:szCs w:val="24"/>
        </w:rPr>
        <w:t xml:space="preserve"> possessed a keen interest in</w:t>
      </w:r>
      <w:r w:rsidR="001A7F10">
        <w:rPr>
          <w:rFonts w:ascii="Times New Roman" w:hAnsi="Times New Roman" w:cs="Times New Roman"/>
          <w:sz w:val="24"/>
          <w:szCs w:val="24"/>
        </w:rPr>
        <w:t xml:space="preserve"> its </w:t>
      </w:r>
      <w:r w:rsidR="00BA238A">
        <w:rPr>
          <w:rFonts w:ascii="Times New Roman" w:hAnsi="Times New Roman" w:cs="Times New Roman"/>
          <w:sz w:val="24"/>
          <w:szCs w:val="24"/>
        </w:rPr>
        <w:t xml:space="preserve">nature and </w:t>
      </w:r>
      <w:r w:rsidR="001A7F10">
        <w:rPr>
          <w:rFonts w:ascii="Times New Roman" w:hAnsi="Times New Roman" w:cs="Times New Roman"/>
          <w:sz w:val="24"/>
          <w:szCs w:val="24"/>
        </w:rPr>
        <w:t>effects</w:t>
      </w:r>
      <w:r w:rsidR="0066779A">
        <w:rPr>
          <w:rFonts w:ascii="Times New Roman" w:hAnsi="Times New Roman" w:cs="Times New Roman"/>
          <w:sz w:val="24"/>
          <w:szCs w:val="24"/>
        </w:rPr>
        <w:t xml:space="preserve">.  </w:t>
      </w:r>
      <w:r w:rsidR="00A070BD">
        <w:rPr>
          <w:rFonts w:ascii="Times New Roman" w:hAnsi="Times New Roman" w:cs="Times New Roman"/>
          <w:sz w:val="24"/>
          <w:szCs w:val="24"/>
        </w:rPr>
        <w:t>In this paper, I examine</w:t>
      </w:r>
      <w:r w:rsidR="00530D81">
        <w:rPr>
          <w:rFonts w:ascii="Times New Roman" w:hAnsi="Times New Roman" w:cs="Times New Roman"/>
          <w:sz w:val="24"/>
          <w:szCs w:val="24"/>
        </w:rPr>
        <w:t xml:space="preserve"> literary</w:t>
      </w:r>
      <w:r w:rsidR="00A070BD">
        <w:rPr>
          <w:rFonts w:ascii="Times New Roman" w:hAnsi="Times New Roman" w:cs="Times New Roman"/>
          <w:sz w:val="24"/>
          <w:szCs w:val="24"/>
        </w:rPr>
        <w:t>,</w:t>
      </w:r>
      <w:r w:rsidR="00530D81">
        <w:rPr>
          <w:rFonts w:ascii="Times New Roman" w:hAnsi="Times New Roman" w:cs="Times New Roman"/>
          <w:sz w:val="24"/>
          <w:szCs w:val="24"/>
        </w:rPr>
        <w:t xml:space="preserve"> archaeological</w:t>
      </w:r>
      <w:r w:rsidR="00A070BD">
        <w:rPr>
          <w:rFonts w:ascii="Times New Roman" w:hAnsi="Times New Roman" w:cs="Times New Roman"/>
          <w:sz w:val="24"/>
          <w:szCs w:val="24"/>
        </w:rPr>
        <w:t>, and artistic</w:t>
      </w:r>
      <w:r w:rsidR="00530D81">
        <w:rPr>
          <w:rFonts w:ascii="Times New Roman" w:hAnsi="Times New Roman" w:cs="Times New Roman"/>
          <w:sz w:val="24"/>
          <w:szCs w:val="24"/>
        </w:rPr>
        <w:t xml:space="preserve"> evidence</w:t>
      </w:r>
      <w:r w:rsidR="00A070BD">
        <w:rPr>
          <w:rFonts w:ascii="Times New Roman" w:hAnsi="Times New Roman" w:cs="Times New Roman"/>
          <w:sz w:val="24"/>
          <w:szCs w:val="24"/>
        </w:rPr>
        <w:t xml:space="preserve"> in order to </w:t>
      </w:r>
      <w:r w:rsidR="00530D81">
        <w:rPr>
          <w:rFonts w:ascii="Times New Roman" w:hAnsi="Times New Roman" w:cs="Times New Roman"/>
          <w:sz w:val="24"/>
          <w:szCs w:val="24"/>
        </w:rPr>
        <w:t xml:space="preserve">achieve a further understanding of this </w:t>
      </w:r>
      <w:r w:rsidR="00A070BD">
        <w:rPr>
          <w:rFonts w:ascii="Times New Roman" w:hAnsi="Times New Roman" w:cs="Times New Roman"/>
          <w:sz w:val="24"/>
          <w:szCs w:val="24"/>
        </w:rPr>
        <w:t xml:space="preserve">remarkable </w:t>
      </w:r>
      <w:r w:rsidR="00530D81">
        <w:rPr>
          <w:rFonts w:ascii="Times New Roman" w:hAnsi="Times New Roman" w:cs="Times New Roman"/>
          <w:sz w:val="24"/>
          <w:szCs w:val="24"/>
        </w:rPr>
        <w:t>disease</w:t>
      </w:r>
      <w:r w:rsidR="00FB2453">
        <w:rPr>
          <w:rFonts w:ascii="Times New Roman" w:hAnsi="Times New Roman" w:cs="Times New Roman"/>
          <w:sz w:val="24"/>
          <w:szCs w:val="24"/>
        </w:rPr>
        <w:t xml:space="preserve"> and to reconstruct an Etruscan interpretation of its nature.</w:t>
      </w:r>
    </w:p>
    <w:p w:rsidR="00530D81" w:rsidRPr="00777B2F" w:rsidRDefault="00530D81" w:rsidP="00AC7AE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4A57">
        <w:rPr>
          <w:rFonts w:ascii="Times New Roman" w:hAnsi="Times New Roman" w:cs="Times New Roman"/>
          <w:sz w:val="24"/>
          <w:szCs w:val="24"/>
        </w:rPr>
        <w:t xml:space="preserve">To appreciate the Etruscan </w:t>
      </w:r>
      <w:r w:rsidR="009701B7">
        <w:rPr>
          <w:rFonts w:ascii="Times New Roman" w:hAnsi="Times New Roman" w:cs="Times New Roman"/>
          <w:sz w:val="24"/>
          <w:szCs w:val="24"/>
        </w:rPr>
        <w:t>perspective on</w:t>
      </w:r>
      <w:r w:rsidR="00FD4A57">
        <w:rPr>
          <w:rFonts w:ascii="Times New Roman" w:hAnsi="Times New Roman" w:cs="Times New Roman"/>
          <w:sz w:val="24"/>
          <w:szCs w:val="24"/>
        </w:rPr>
        <w:t xml:space="preserve"> this disease, we</w:t>
      </w:r>
      <w:r>
        <w:rPr>
          <w:rFonts w:ascii="Times New Roman" w:hAnsi="Times New Roman" w:cs="Times New Roman"/>
          <w:sz w:val="24"/>
          <w:szCs w:val="24"/>
        </w:rPr>
        <w:t xml:space="preserve"> should begin with </w:t>
      </w:r>
      <w:r w:rsidR="00FD4A57">
        <w:rPr>
          <w:rFonts w:ascii="Times New Roman" w:hAnsi="Times New Roman" w:cs="Times New Roman"/>
          <w:sz w:val="24"/>
          <w:szCs w:val="24"/>
        </w:rPr>
        <w:t xml:space="preserve">one of their most important myths, </w:t>
      </w:r>
      <w:r w:rsidR="00BA238A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of the Etruscan prophet Tag</w:t>
      </w:r>
      <w:r w:rsidR="006B4F4F">
        <w:rPr>
          <w:rFonts w:ascii="Times New Roman" w:hAnsi="Times New Roman" w:cs="Times New Roman"/>
          <w:sz w:val="24"/>
          <w:szCs w:val="24"/>
        </w:rPr>
        <w:t xml:space="preserve">es.  This figure was </w:t>
      </w:r>
      <w:r>
        <w:rPr>
          <w:rFonts w:ascii="Times New Roman" w:hAnsi="Times New Roman" w:cs="Times New Roman"/>
          <w:sz w:val="24"/>
          <w:szCs w:val="24"/>
        </w:rPr>
        <w:t xml:space="preserve">a young </w:t>
      </w:r>
      <w:r w:rsidR="00D73E46">
        <w:rPr>
          <w:rFonts w:ascii="Times New Roman" w:hAnsi="Times New Roman" w:cs="Times New Roman"/>
          <w:sz w:val="24"/>
          <w:szCs w:val="24"/>
        </w:rPr>
        <w:t>boy</w:t>
      </w:r>
      <w:r>
        <w:rPr>
          <w:rFonts w:ascii="Times New Roman" w:hAnsi="Times New Roman" w:cs="Times New Roman"/>
          <w:sz w:val="24"/>
          <w:szCs w:val="24"/>
        </w:rPr>
        <w:t>, who sprang</w:t>
      </w:r>
      <w:r w:rsidR="00BE2A53">
        <w:rPr>
          <w:rFonts w:ascii="Times New Roman" w:hAnsi="Times New Roman" w:cs="Times New Roman"/>
          <w:sz w:val="24"/>
          <w:szCs w:val="24"/>
        </w:rPr>
        <w:t xml:space="preserve"> forth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38A">
        <w:rPr>
          <w:rFonts w:ascii="Times New Roman" w:hAnsi="Times New Roman" w:cs="Times New Roman"/>
          <w:sz w:val="24"/>
          <w:szCs w:val="24"/>
        </w:rPr>
        <w:t>from the earth possessing</w:t>
      </w:r>
      <w:r>
        <w:rPr>
          <w:rFonts w:ascii="Times New Roman" w:hAnsi="Times New Roman" w:cs="Times New Roman"/>
          <w:sz w:val="24"/>
          <w:szCs w:val="24"/>
        </w:rPr>
        <w:t xml:space="preserve"> wisdom beyond his years.</w:t>
      </w:r>
      <w:r w:rsidR="00FD4A57">
        <w:rPr>
          <w:rFonts w:ascii="Times New Roman" w:hAnsi="Times New Roman" w:cs="Times New Roman"/>
          <w:sz w:val="24"/>
          <w:szCs w:val="24"/>
        </w:rPr>
        <w:t xml:space="preserve">  He is said to have </w:t>
      </w:r>
      <w:r w:rsidR="006B4F4F">
        <w:rPr>
          <w:rFonts w:ascii="Times New Roman" w:hAnsi="Times New Roman" w:cs="Times New Roman"/>
          <w:sz w:val="24"/>
          <w:szCs w:val="24"/>
        </w:rPr>
        <w:t xml:space="preserve">instructed the Etruscans in </w:t>
      </w:r>
      <w:r w:rsidR="00FD4A57">
        <w:rPr>
          <w:rFonts w:ascii="Times New Roman" w:hAnsi="Times New Roman" w:cs="Times New Roman"/>
          <w:sz w:val="24"/>
          <w:szCs w:val="24"/>
        </w:rPr>
        <w:t xml:space="preserve">religious matters and </w:t>
      </w:r>
      <w:r w:rsidR="006B4F4F">
        <w:rPr>
          <w:rFonts w:ascii="Times New Roman" w:hAnsi="Times New Roman" w:cs="Times New Roman"/>
          <w:sz w:val="24"/>
          <w:szCs w:val="24"/>
        </w:rPr>
        <w:t xml:space="preserve">the art of </w:t>
      </w:r>
      <w:r w:rsidR="00FD4A57">
        <w:rPr>
          <w:rFonts w:ascii="Times New Roman" w:hAnsi="Times New Roman" w:cs="Times New Roman"/>
          <w:sz w:val="24"/>
          <w:szCs w:val="24"/>
        </w:rPr>
        <w:t>divination</w:t>
      </w:r>
      <w:r w:rsidR="00BE2A53">
        <w:rPr>
          <w:rFonts w:ascii="Times New Roman" w:hAnsi="Times New Roman" w:cs="Times New Roman"/>
          <w:sz w:val="24"/>
          <w:szCs w:val="24"/>
        </w:rPr>
        <w:t xml:space="preserve">, a skill </w:t>
      </w:r>
      <w:r w:rsidR="006B4F4F">
        <w:rPr>
          <w:rFonts w:ascii="Times New Roman" w:hAnsi="Times New Roman" w:cs="Times New Roman"/>
          <w:sz w:val="24"/>
          <w:szCs w:val="24"/>
        </w:rPr>
        <w:t xml:space="preserve">central to Etruscan </w:t>
      </w:r>
      <w:r w:rsidR="00BE2A53">
        <w:rPr>
          <w:rFonts w:ascii="Times New Roman" w:hAnsi="Times New Roman" w:cs="Times New Roman"/>
          <w:sz w:val="24"/>
          <w:szCs w:val="24"/>
        </w:rPr>
        <w:t xml:space="preserve">cultural </w:t>
      </w:r>
      <w:r w:rsidR="006B4F4F">
        <w:rPr>
          <w:rFonts w:ascii="Times New Roman" w:hAnsi="Times New Roman" w:cs="Times New Roman"/>
          <w:sz w:val="24"/>
          <w:szCs w:val="24"/>
        </w:rPr>
        <w:t>identity</w:t>
      </w:r>
      <w:r w:rsidR="00FD4A57">
        <w:rPr>
          <w:rFonts w:ascii="Times New Roman" w:hAnsi="Times New Roman" w:cs="Times New Roman"/>
          <w:sz w:val="24"/>
          <w:szCs w:val="24"/>
        </w:rPr>
        <w:t>.</w:t>
      </w:r>
      <w:r w:rsidR="00FC593F">
        <w:rPr>
          <w:rFonts w:ascii="Times New Roman" w:hAnsi="Times New Roman" w:cs="Times New Roman"/>
          <w:sz w:val="24"/>
          <w:szCs w:val="24"/>
        </w:rPr>
        <w:t xml:space="preserve">  The t</w:t>
      </w:r>
      <w:r w:rsidR="00EF3F83">
        <w:rPr>
          <w:rFonts w:ascii="Times New Roman" w:hAnsi="Times New Roman" w:cs="Times New Roman"/>
          <w:sz w:val="24"/>
          <w:szCs w:val="24"/>
        </w:rPr>
        <w:t>ale</w:t>
      </w:r>
      <w:r w:rsidR="00FC593F">
        <w:rPr>
          <w:rFonts w:ascii="Times New Roman" w:hAnsi="Times New Roman" w:cs="Times New Roman"/>
          <w:sz w:val="24"/>
          <w:szCs w:val="24"/>
        </w:rPr>
        <w:t xml:space="preserve"> of Tages</w:t>
      </w:r>
      <w:r w:rsidR="00BA238A">
        <w:rPr>
          <w:rFonts w:ascii="Times New Roman" w:hAnsi="Times New Roman" w:cs="Times New Roman"/>
          <w:sz w:val="24"/>
          <w:szCs w:val="24"/>
        </w:rPr>
        <w:t xml:space="preserve"> is recorded</w:t>
      </w:r>
      <w:r w:rsidR="00EF3F83">
        <w:rPr>
          <w:rFonts w:ascii="Times New Roman" w:hAnsi="Times New Roman" w:cs="Times New Roman"/>
          <w:sz w:val="24"/>
          <w:szCs w:val="24"/>
        </w:rPr>
        <w:t xml:space="preserve"> by </w:t>
      </w:r>
      <w:r w:rsidR="00A950DF">
        <w:rPr>
          <w:rFonts w:ascii="Times New Roman" w:hAnsi="Times New Roman" w:cs="Times New Roman"/>
          <w:sz w:val="24"/>
          <w:szCs w:val="24"/>
        </w:rPr>
        <w:t xml:space="preserve">several ancient authors:  </w:t>
      </w:r>
      <w:r>
        <w:rPr>
          <w:rFonts w:ascii="Times New Roman" w:hAnsi="Times New Roman" w:cs="Times New Roman"/>
          <w:sz w:val="24"/>
          <w:szCs w:val="24"/>
        </w:rPr>
        <w:t>Cicero</w:t>
      </w:r>
      <w:r w:rsidR="00EF3F83">
        <w:rPr>
          <w:rFonts w:ascii="Times New Roman" w:hAnsi="Times New Roman" w:cs="Times New Roman"/>
          <w:sz w:val="24"/>
          <w:szCs w:val="24"/>
        </w:rPr>
        <w:t xml:space="preserve"> </w:t>
      </w:r>
      <w:r w:rsidR="00E041C1">
        <w:rPr>
          <w:rFonts w:ascii="Times New Roman" w:hAnsi="Times New Roman" w:cs="Times New Roman"/>
          <w:sz w:val="24"/>
          <w:szCs w:val="24"/>
        </w:rPr>
        <w:t xml:space="preserve">in the </w:t>
      </w:r>
      <w:r w:rsidR="00E041C1">
        <w:rPr>
          <w:rFonts w:ascii="Times New Roman" w:hAnsi="Times New Roman" w:cs="Times New Roman"/>
          <w:i/>
          <w:sz w:val="24"/>
          <w:szCs w:val="24"/>
        </w:rPr>
        <w:t>De Divinatione</w:t>
      </w:r>
      <w:r w:rsidR="00BA238A">
        <w:rPr>
          <w:rFonts w:ascii="Times New Roman" w:hAnsi="Times New Roman" w:cs="Times New Roman"/>
          <w:i/>
          <w:sz w:val="24"/>
          <w:szCs w:val="24"/>
        </w:rPr>
        <w:t>,</w:t>
      </w:r>
      <w:r w:rsidR="00E041C1">
        <w:rPr>
          <w:rFonts w:ascii="Times New Roman" w:hAnsi="Times New Roman" w:cs="Times New Roman"/>
          <w:sz w:val="24"/>
          <w:szCs w:val="24"/>
        </w:rPr>
        <w:t xml:space="preserve"> Ovid in the </w:t>
      </w:r>
      <w:r w:rsidR="00E041C1">
        <w:rPr>
          <w:rFonts w:ascii="Times New Roman" w:hAnsi="Times New Roman" w:cs="Times New Roman"/>
          <w:i/>
          <w:sz w:val="24"/>
          <w:szCs w:val="24"/>
        </w:rPr>
        <w:t>Metamorphoses</w:t>
      </w:r>
      <w:r w:rsidR="00E041C1">
        <w:rPr>
          <w:rFonts w:ascii="Times New Roman" w:hAnsi="Times New Roman" w:cs="Times New Roman"/>
          <w:sz w:val="24"/>
          <w:szCs w:val="24"/>
        </w:rPr>
        <w:t xml:space="preserve">, </w:t>
      </w:r>
      <w:r w:rsidR="00BA238A">
        <w:rPr>
          <w:rFonts w:ascii="Times New Roman" w:hAnsi="Times New Roman" w:cs="Times New Roman"/>
          <w:sz w:val="24"/>
          <w:szCs w:val="24"/>
        </w:rPr>
        <w:t>and</w:t>
      </w:r>
      <w:r w:rsidR="00347F88">
        <w:rPr>
          <w:rFonts w:ascii="Times New Roman" w:hAnsi="Times New Roman" w:cs="Times New Roman"/>
          <w:sz w:val="24"/>
          <w:szCs w:val="24"/>
        </w:rPr>
        <w:t xml:space="preserve"> Joannes</w:t>
      </w:r>
      <w:r w:rsidR="00BA238A">
        <w:rPr>
          <w:rFonts w:ascii="Times New Roman" w:hAnsi="Times New Roman" w:cs="Times New Roman"/>
          <w:sz w:val="24"/>
          <w:szCs w:val="24"/>
        </w:rPr>
        <w:t xml:space="preserve"> Lydus</w:t>
      </w:r>
      <w:r w:rsidR="00E041C1">
        <w:rPr>
          <w:rFonts w:ascii="Times New Roman" w:hAnsi="Times New Roman" w:cs="Times New Roman"/>
          <w:sz w:val="24"/>
          <w:szCs w:val="24"/>
        </w:rPr>
        <w:t xml:space="preserve"> in his </w:t>
      </w:r>
      <w:r w:rsidR="00E041C1">
        <w:rPr>
          <w:rFonts w:ascii="Times New Roman" w:hAnsi="Times New Roman" w:cs="Times New Roman"/>
          <w:i/>
          <w:sz w:val="24"/>
          <w:szCs w:val="24"/>
        </w:rPr>
        <w:t>De Ostentis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3F83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8B7697">
        <w:rPr>
          <w:rFonts w:ascii="Times New Roman" w:hAnsi="Times New Roman" w:cs="Times New Roman"/>
          <w:sz w:val="24"/>
          <w:szCs w:val="24"/>
        </w:rPr>
        <w:t xml:space="preserve">  Due to the </w:t>
      </w:r>
      <w:r w:rsidR="00A33458">
        <w:rPr>
          <w:rFonts w:ascii="Times New Roman" w:hAnsi="Times New Roman" w:cs="Times New Roman"/>
          <w:sz w:val="24"/>
          <w:szCs w:val="24"/>
        </w:rPr>
        <w:t>dearth of Etruscan literature, we must turn to artistic evidence found on an Etruscan mirror from Tuscania for one of their own versions of this story.</w:t>
      </w:r>
      <w:r w:rsidR="00DC0FF5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 Recent archaeological excavations at Pian di Civita, Tarquinia</w:t>
      </w:r>
      <w:r w:rsidR="00ED532E">
        <w:rPr>
          <w:rFonts w:ascii="Times New Roman" w:hAnsi="Times New Roman" w:cs="Times New Roman"/>
          <w:sz w:val="24"/>
          <w:szCs w:val="24"/>
        </w:rPr>
        <w:t>, which include the discovery of a child’s skeleton that indicates signs of epilepsy,</w:t>
      </w:r>
      <w:r>
        <w:rPr>
          <w:rFonts w:ascii="Times New Roman" w:hAnsi="Times New Roman" w:cs="Times New Roman"/>
          <w:sz w:val="24"/>
          <w:szCs w:val="24"/>
        </w:rPr>
        <w:t xml:space="preserve"> have also been associated with this mythological figure.</w:t>
      </w:r>
      <w:r w:rsidR="00777B2F">
        <w:rPr>
          <w:rFonts w:ascii="Times New Roman" w:hAnsi="Times New Roman" w:cs="Times New Roman"/>
          <w:sz w:val="24"/>
          <w:szCs w:val="24"/>
        </w:rPr>
        <w:t xml:space="preserve">  It is thus possible that the origin of Tages, and his revelation of the </w:t>
      </w:r>
      <w:r w:rsidR="00777B2F">
        <w:rPr>
          <w:rFonts w:ascii="Times New Roman" w:hAnsi="Times New Roman" w:cs="Times New Roman"/>
          <w:i/>
          <w:sz w:val="24"/>
          <w:szCs w:val="24"/>
        </w:rPr>
        <w:t>Etruscan Disciplina</w:t>
      </w:r>
      <w:r w:rsidR="00777B2F">
        <w:rPr>
          <w:rFonts w:ascii="Times New Roman" w:hAnsi="Times New Roman" w:cs="Times New Roman"/>
          <w:sz w:val="24"/>
          <w:szCs w:val="24"/>
        </w:rPr>
        <w:t>, can be traced to a young boy afflicted by epilepsy.</w:t>
      </w:r>
      <w:r w:rsidR="00777B2F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777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D81" w:rsidRDefault="00530D81" w:rsidP="00AC7AE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1EBF">
        <w:rPr>
          <w:rFonts w:ascii="Times New Roman" w:hAnsi="Times New Roman" w:cs="Times New Roman"/>
          <w:sz w:val="24"/>
          <w:szCs w:val="24"/>
        </w:rPr>
        <w:t>I would like to add several other</w:t>
      </w:r>
      <w:r>
        <w:rPr>
          <w:rFonts w:ascii="Times New Roman" w:hAnsi="Times New Roman" w:cs="Times New Roman"/>
          <w:sz w:val="24"/>
          <w:szCs w:val="24"/>
        </w:rPr>
        <w:t xml:space="preserve"> Etruscan</w:t>
      </w:r>
      <w:r w:rsidR="005977D9">
        <w:rPr>
          <w:rFonts w:ascii="Times New Roman" w:hAnsi="Times New Roman" w:cs="Times New Roman"/>
          <w:sz w:val="24"/>
          <w:szCs w:val="24"/>
        </w:rPr>
        <w:t xml:space="preserve"> mirrors to the list of evidence </w:t>
      </w:r>
      <w:r>
        <w:rPr>
          <w:rFonts w:ascii="Times New Roman" w:hAnsi="Times New Roman" w:cs="Times New Roman"/>
          <w:sz w:val="24"/>
          <w:szCs w:val="24"/>
        </w:rPr>
        <w:t>associat</w:t>
      </w:r>
      <w:r w:rsidR="001E2E41">
        <w:rPr>
          <w:rFonts w:ascii="Times New Roman" w:hAnsi="Times New Roman" w:cs="Times New Roman"/>
          <w:sz w:val="24"/>
          <w:szCs w:val="24"/>
        </w:rPr>
        <w:t>ed with this disease.  These mirror</w:t>
      </w:r>
      <w:r>
        <w:rPr>
          <w:rFonts w:ascii="Times New Roman" w:hAnsi="Times New Roman" w:cs="Times New Roman"/>
          <w:sz w:val="24"/>
          <w:szCs w:val="24"/>
        </w:rPr>
        <w:t>s depict a scene in which the Etruscan goddess Menerva engages in the cur</w:t>
      </w:r>
      <w:r w:rsidR="00A265B8">
        <w:rPr>
          <w:rFonts w:ascii="Times New Roman" w:hAnsi="Times New Roman" w:cs="Times New Roman"/>
          <w:sz w:val="24"/>
          <w:szCs w:val="24"/>
        </w:rPr>
        <w:t xml:space="preserve">ious act of dipping </w:t>
      </w:r>
      <w:r>
        <w:rPr>
          <w:rFonts w:ascii="Times New Roman" w:hAnsi="Times New Roman" w:cs="Times New Roman"/>
          <w:sz w:val="24"/>
          <w:szCs w:val="24"/>
        </w:rPr>
        <w:t>babies in</w:t>
      </w:r>
      <w:r w:rsidR="00A265B8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what appears to be a krater full of wine.</w:t>
      </w:r>
      <w:r w:rsidR="00D931DE">
        <w:rPr>
          <w:rFonts w:ascii="Times New Roman" w:hAnsi="Times New Roman" w:cs="Times New Roman"/>
          <w:sz w:val="24"/>
          <w:szCs w:val="24"/>
        </w:rPr>
        <w:t xml:space="preserve">  I submit that</w:t>
      </w:r>
      <w:r w:rsidR="009E1EBF">
        <w:rPr>
          <w:rFonts w:ascii="Times New Roman" w:hAnsi="Times New Roman" w:cs="Times New Roman"/>
          <w:sz w:val="24"/>
          <w:szCs w:val="24"/>
        </w:rPr>
        <w:t xml:space="preserve"> the Etruscan</w:t>
      </w:r>
      <w:r w:rsidR="00D931DE">
        <w:rPr>
          <w:rFonts w:ascii="Times New Roman" w:hAnsi="Times New Roman" w:cs="Times New Roman"/>
          <w:sz w:val="24"/>
          <w:szCs w:val="24"/>
        </w:rPr>
        <w:t xml:space="preserve"> Menerva, a goddess particularly suited for medicinal rituals</w:t>
      </w:r>
      <w:r w:rsidR="009E1EBF">
        <w:rPr>
          <w:rFonts w:ascii="Times New Roman" w:hAnsi="Times New Roman" w:cs="Times New Roman"/>
          <w:sz w:val="24"/>
          <w:szCs w:val="24"/>
        </w:rPr>
        <w:t xml:space="preserve">, </w:t>
      </w:r>
      <w:r w:rsidR="00D931DE">
        <w:rPr>
          <w:rFonts w:ascii="Times New Roman" w:hAnsi="Times New Roman" w:cs="Times New Roman"/>
          <w:sz w:val="24"/>
          <w:szCs w:val="24"/>
        </w:rPr>
        <w:t>the care of young men</w:t>
      </w:r>
      <w:r w:rsidR="009E1EBF">
        <w:rPr>
          <w:rFonts w:ascii="Times New Roman" w:hAnsi="Times New Roman" w:cs="Times New Roman"/>
          <w:sz w:val="24"/>
          <w:szCs w:val="24"/>
        </w:rPr>
        <w:t>, and even oracular powers</w:t>
      </w:r>
      <w:r w:rsidR="00D931DE">
        <w:rPr>
          <w:rFonts w:ascii="Times New Roman" w:hAnsi="Times New Roman" w:cs="Times New Roman"/>
          <w:sz w:val="24"/>
          <w:szCs w:val="24"/>
        </w:rPr>
        <w:t>, is testing the health of these babies</w:t>
      </w:r>
      <w:r w:rsidR="00E04810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D931DE">
        <w:rPr>
          <w:rFonts w:ascii="Times New Roman" w:hAnsi="Times New Roman" w:cs="Times New Roman"/>
          <w:sz w:val="24"/>
          <w:szCs w:val="24"/>
        </w:rPr>
        <w:t xml:space="preserve"> by submerging them in pure, undiluted wine.  This</w:t>
      </w:r>
      <w:r w:rsidR="006B0EFC">
        <w:rPr>
          <w:rFonts w:ascii="Times New Roman" w:hAnsi="Times New Roman" w:cs="Times New Roman"/>
          <w:sz w:val="24"/>
          <w:szCs w:val="24"/>
        </w:rPr>
        <w:t xml:space="preserve"> “baby-dipping”</w:t>
      </w:r>
      <w:r w:rsidR="00D931DE">
        <w:rPr>
          <w:rFonts w:ascii="Times New Roman" w:hAnsi="Times New Roman" w:cs="Times New Roman"/>
          <w:sz w:val="24"/>
          <w:szCs w:val="24"/>
        </w:rPr>
        <w:t xml:space="preserve"> practice was known to the Greeks,</w:t>
      </w:r>
      <w:r w:rsidR="009544FC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="00D931DE">
        <w:rPr>
          <w:rFonts w:ascii="Times New Roman" w:hAnsi="Times New Roman" w:cs="Times New Roman"/>
          <w:sz w:val="24"/>
          <w:szCs w:val="24"/>
        </w:rPr>
        <w:t xml:space="preserve"> and it is quite </w:t>
      </w:r>
      <w:r w:rsidR="00CB3186">
        <w:rPr>
          <w:rFonts w:ascii="Times New Roman" w:hAnsi="Times New Roman" w:cs="Times New Roman"/>
          <w:sz w:val="24"/>
          <w:szCs w:val="24"/>
        </w:rPr>
        <w:t>likely</w:t>
      </w:r>
      <w:r w:rsidR="00D931DE">
        <w:rPr>
          <w:rFonts w:ascii="Times New Roman" w:hAnsi="Times New Roman" w:cs="Times New Roman"/>
          <w:sz w:val="24"/>
          <w:szCs w:val="24"/>
        </w:rPr>
        <w:t xml:space="preserve"> </w:t>
      </w:r>
      <w:r w:rsidR="00610339">
        <w:rPr>
          <w:rFonts w:ascii="Times New Roman" w:hAnsi="Times New Roman" w:cs="Times New Roman"/>
          <w:sz w:val="24"/>
          <w:szCs w:val="24"/>
        </w:rPr>
        <w:t xml:space="preserve">that </w:t>
      </w:r>
      <w:r w:rsidR="00D931DE">
        <w:rPr>
          <w:rFonts w:ascii="Times New Roman" w:hAnsi="Times New Roman" w:cs="Times New Roman"/>
          <w:sz w:val="24"/>
          <w:szCs w:val="24"/>
        </w:rPr>
        <w:t xml:space="preserve">these mirrors contain an artistic </w:t>
      </w:r>
      <w:r w:rsidR="00CB3186">
        <w:rPr>
          <w:rFonts w:ascii="Times New Roman" w:hAnsi="Times New Roman" w:cs="Times New Roman"/>
          <w:sz w:val="24"/>
          <w:szCs w:val="24"/>
        </w:rPr>
        <w:t>representation demonstrating its</w:t>
      </w:r>
      <w:r w:rsidR="00D931DE">
        <w:rPr>
          <w:rFonts w:ascii="Times New Roman" w:hAnsi="Times New Roman" w:cs="Times New Roman"/>
          <w:sz w:val="24"/>
          <w:szCs w:val="24"/>
        </w:rPr>
        <w:t xml:space="preserve"> use in Etruria.</w:t>
      </w:r>
      <w:r w:rsidR="00373625">
        <w:rPr>
          <w:rFonts w:ascii="Times New Roman" w:hAnsi="Times New Roman" w:cs="Times New Roman"/>
          <w:sz w:val="24"/>
          <w:szCs w:val="24"/>
        </w:rPr>
        <w:t xml:space="preserve">  It is also possible that this interpretation of Menerva as a medicinal goddess linked to wine and youths may be used to explain </w:t>
      </w:r>
      <w:r w:rsidR="00622724">
        <w:rPr>
          <w:rFonts w:ascii="Times New Roman" w:hAnsi="Times New Roman" w:cs="Times New Roman"/>
          <w:sz w:val="24"/>
          <w:szCs w:val="24"/>
        </w:rPr>
        <w:t>two other</w:t>
      </w:r>
      <w:r w:rsidR="00F13D91">
        <w:rPr>
          <w:rFonts w:ascii="Times New Roman" w:hAnsi="Times New Roman" w:cs="Times New Roman"/>
          <w:sz w:val="24"/>
          <w:szCs w:val="24"/>
        </w:rPr>
        <w:t xml:space="preserve"> puzzling</w:t>
      </w:r>
      <w:r w:rsidR="00622724">
        <w:rPr>
          <w:rFonts w:ascii="Times New Roman" w:hAnsi="Times New Roman" w:cs="Times New Roman"/>
          <w:sz w:val="24"/>
          <w:szCs w:val="24"/>
        </w:rPr>
        <w:t xml:space="preserve"> </w:t>
      </w:r>
      <w:r w:rsidR="00373625">
        <w:rPr>
          <w:rFonts w:ascii="Times New Roman" w:hAnsi="Times New Roman" w:cs="Times New Roman"/>
          <w:sz w:val="24"/>
          <w:szCs w:val="24"/>
        </w:rPr>
        <w:t>Etruscan mirrors</w:t>
      </w:r>
      <w:r w:rsidR="00074847">
        <w:rPr>
          <w:rFonts w:ascii="Times New Roman" w:hAnsi="Times New Roman" w:cs="Times New Roman"/>
          <w:sz w:val="24"/>
          <w:szCs w:val="24"/>
        </w:rPr>
        <w:t xml:space="preserve"> bearing the </w:t>
      </w:r>
      <w:r w:rsidR="00F13D91">
        <w:rPr>
          <w:rFonts w:ascii="Times New Roman" w:hAnsi="Times New Roman" w:cs="Times New Roman"/>
          <w:sz w:val="24"/>
          <w:szCs w:val="24"/>
        </w:rPr>
        <w:t xml:space="preserve">figures </w:t>
      </w:r>
      <w:r w:rsidR="00074847">
        <w:rPr>
          <w:rFonts w:ascii="Times New Roman" w:hAnsi="Times New Roman" w:cs="Times New Roman"/>
          <w:sz w:val="24"/>
          <w:szCs w:val="24"/>
        </w:rPr>
        <w:t>Esia and Epiur</w:t>
      </w:r>
      <w:r w:rsidR="00373625">
        <w:rPr>
          <w:rFonts w:ascii="Times New Roman" w:hAnsi="Times New Roman" w:cs="Times New Roman"/>
          <w:sz w:val="24"/>
          <w:szCs w:val="24"/>
        </w:rPr>
        <w:t>.</w:t>
      </w:r>
      <w:r w:rsidR="00801634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="00074847">
        <w:rPr>
          <w:rFonts w:ascii="Times New Roman" w:hAnsi="Times New Roman" w:cs="Times New Roman"/>
          <w:sz w:val="24"/>
          <w:szCs w:val="24"/>
        </w:rPr>
        <w:t xml:space="preserve">  </w:t>
      </w:r>
      <w:r w:rsidR="0040269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523C" w:rsidRDefault="008F523C" w:rsidP="00AC7AE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269D">
        <w:rPr>
          <w:rFonts w:ascii="Times New Roman" w:hAnsi="Times New Roman" w:cs="Times New Roman"/>
          <w:sz w:val="24"/>
          <w:szCs w:val="24"/>
        </w:rPr>
        <w:t xml:space="preserve">In each of these instances, the Etruscans seem to have revered those afflicted by epilepsy.  Epilepsy </w:t>
      </w:r>
      <w:r w:rsidR="007353B8">
        <w:rPr>
          <w:rFonts w:ascii="Times New Roman" w:hAnsi="Times New Roman" w:cs="Times New Roman"/>
          <w:sz w:val="24"/>
          <w:szCs w:val="24"/>
        </w:rPr>
        <w:t>was</w:t>
      </w:r>
      <w:r w:rsidR="0040269D">
        <w:rPr>
          <w:rFonts w:ascii="Times New Roman" w:hAnsi="Times New Roman" w:cs="Times New Roman"/>
          <w:sz w:val="24"/>
          <w:szCs w:val="24"/>
        </w:rPr>
        <w:t xml:space="preserve"> </w:t>
      </w:r>
      <w:r w:rsidR="007353B8">
        <w:rPr>
          <w:rFonts w:ascii="Times New Roman" w:hAnsi="Times New Roman" w:cs="Times New Roman"/>
          <w:sz w:val="24"/>
          <w:szCs w:val="24"/>
        </w:rPr>
        <w:t xml:space="preserve">widely </w:t>
      </w:r>
      <w:r w:rsidR="0040269D">
        <w:rPr>
          <w:rFonts w:ascii="Times New Roman" w:hAnsi="Times New Roman" w:cs="Times New Roman"/>
          <w:sz w:val="24"/>
          <w:szCs w:val="24"/>
        </w:rPr>
        <w:t>misunderstood and terrifying, but the Etruscans may hav</w:t>
      </w:r>
      <w:r w:rsidR="007353B8">
        <w:rPr>
          <w:rFonts w:ascii="Times New Roman" w:hAnsi="Times New Roman" w:cs="Times New Roman"/>
          <w:sz w:val="24"/>
          <w:szCs w:val="24"/>
        </w:rPr>
        <w:t>e held those who possessed it in higher regard</w:t>
      </w:r>
      <w:r w:rsidR="00D93D5D">
        <w:rPr>
          <w:rFonts w:ascii="Times New Roman" w:hAnsi="Times New Roman" w:cs="Times New Roman"/>
          <w:sz w:val="24"/>
          <w:szCs w:val="24"/>
        </w:rPr>
        <w:t xml:space="preserve"> than </w:t>
      </w:r>
      <w:r w:rsidR="004E7D30">
        <w:rPr>
          <w:rFonts w:ascii="Times New Roman" w:hAnsi="Times New Roman" w:cs="Times New Roman"/>
          <w:sz w:val="24"/>
          <w:szCs w:val="24"/>
        </w:rPr>
        <w:t xml:space="preserve">did </w:t>
      </w:r>
      <w:r w:rsidR="00D93D5D">
        <w:rPr>
          <w:rFonts w:ascii="Times New Roman" w:hAnsi="Times New Roman" w:cs="Times New Roman"/>
          <w:sz w:val="24"/>
          <w:szCs w:val="24"/>
        </w:rPr>
        <w:t>other cultures</w:t>
      </w:r>
      <w:r w:rsidR="0040269D">
        <w:rPr>
          <w:rFonts w:ascii="Times New Roman" w:hAnsi="Times New Roman" w:cs="Times New Roman"/>
          <w:sz w:val="24"/>
          <w:szCs w:val="24"/>
        </w:rPr>
        <w:t xml:space="preserve">.  The often cited trope that the Etruscans were the </w:t>
      </w:r>
      <w:r w:rsidR="003A634F">
        <w:rPr>
          <w:rFonts w:ascii="Times New Roman" w:hAnsi="Times New Roman" w:cs="Times New Roman"/>
          <w:sz w:val="24"/>
          <w:szCs w:val="24"/>
        </w:rPr>
        <w:t>“</w:t>
      </w:r>
      <w:r w:rsidR="0040269D">
        <w:rPr>
          <w:rFonts w:ascii="Times New Roman" w:hAnsi="Times New Roman" w:cs="Times New Roman"/>
          <w:sz w:val="24"/>
          <w:szCs w:val="24"/>
        </w:rPr>
        <w:t>most religious</w:t>
      </w:r>
      <w:r w:rsidR="003A634F">
        <w:rPr>
          <w:rFonts w:ascii="Times New Roman" w:hAnsi="Times New Roman" w:cs="Times New Roman"/>
          <w:sz w:val="24"/>
          <w:szCs w:val="24"/>
        </w:rPr>
        <w:t>”</w:t>
      </w:r>
      <w:r w:rsidR="0040269D">
        <w:rPr>
          <w:rFonts w:ascii="Times New Roman" w:hAnsi="Times New Roman" w:cs="Times New Roman"/>
          <w:sz w:val="24"/>
          <w:szCs w:val="24"/>
        </w:rPr>
        <w:t xml:space="preserve"> of men,</w:t>
      </w:r>
      <w:r w:rsidR="00455506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="0040269D">
        <w:rPr>
          <w:rFonts w:ascii="Times New Roman" w:hAnsi="Times New Roman" w:cs="Times New Roman"/>
          <w:sz w:val="24"/>
          <w:szCs w:val="24"/>
        </w:rPr>
        <w:t xml:space="preserve"> </w:t>
      </w:r>
      <w:r w:rsidR="003E3CCB">
        <w:rPr>
          <w:rFonts w:ascii="Times New Roman" w:hAnsi="Times New Roman" w:cs="Times New Roman"/>
          <w:sz w:val="24"/>
          <w:szCs w:val="24"/>
        </w:rPr>
        <w:t>may</w:t>
      </w:r>
      <w:r w:rsidR="003A634F">
        <w:rPr>
          <w:rFonts w:ascii="Times New Roman" w:hAnsi="Times New Roman" w:cs="Times New Roman"/>
          <w:sz w:val="24"/>
          <w:szCs w:val="24"/>
        </w:rPr>
        <w:t xml:space="preserve"> hold true yet again, and those men and women afflicted by epilepsy were likely revered as messengers of the gods revealing their will to the Etruscans.</w:t>
      </w:r>
      <w:r w:rsidR="00D95004">
        <w:rPr>
          <w:rFonts w:ascii="Times New Roman" w:hAnsi="Times New Roman" w:cs="Times New Roman"/>
          <w:sz w:val="24"/>
          <w:szCs w:val="24"/>
        </w:rPr>
        <w:t xml:space="preserve">  Furthermore, it may be that the Etruscans, </w:t>
      </w:r>
      <w:r w:rsidR="009A282C">
        <w:rPr>
          <w:rFonts w:ascii="Times New Roman" w:hAnsi="Times New Roman" w:cs="Times New Roman"/>
          <w:sz w:val="24"/>
          <w:szCs w:val="24"/>
        </w:rPr>
        <w:t xml:space="preserve">whose religion was primarily </w:t>
      </w:r>
      <w:r w:rsidR="00D95004">
        <w:rPr>
          <w:rFonts w:ascii="Times New Roman" w:hAnsi="Times New Roman" w:cs="Times New Roman"/>
          <w:sz w:val="24"/>
          <w:szCs w:val="24"/>
        </w:rPr>
        <w:t>a revealed one, had adapted and borrowed Greek medicinal practice in order to identify those who possessed the disease at an early age.</w:t>
      </w:r>
      <w:r w:rsidR="006A363D">
        <w:rPr>
          <w:rFonts w:ascii="Times New Roman" w:hAnsi="Times New Roman" w:cs="Times New Roman"/>
          <w:sz w:val="24"/>
          <w:szCs w:val="24"/>
        </w:rPr>
        <w:t xml:space="preserve">  At least for the Etruscans, this disease was likely to remain sacred.</w:t>
      </w:r>
    </w:p>
    <w:p w:rsidR="00D931DE" w:rsidRDefault="00D931DE" w:rsidP="00AC7AE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50D3" w:rsidRDefault="001E6091" w:rsidP="00554F31">
      <w:pPr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Select </w:t>
      </w:r>
      <w:r w:rsidR="00BC50D3" w:rsidRPr="00BC50D3">
        <w:rPr>
          <w:rFonts w:ascii="Times New Roman" w:hAnsi="Times New Roman" w:cs="Times New Roman"/>
          <w:b/>
          <w:sz w:val="24"/>
          <w:szCs w:val="24"/>
        </w:rPr>
        <w:t>Bibliography</w:t>
      </w:r>
    </w:p>
    <w:p w:rsidR="001E6091" w:rsidRDefault="001E6091" w:rsidP="00554F31">
      <w:pPr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0D3" w:rsidRDefault="00BC50D3" w:rsidP="00554F31">
      <w:pPr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Grummond, N</w:t>
      </w:r>
      <w:r w:rsidRPr="00BC50D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2006a</w:t>
      </w:r>
      <w:r w:rsidRPr="00BC50D3">
        <w:rPr>
          <w:rFonts w:ascii="Times New Roman" w:hAnsi="Times New Roman" w:cs="Times New Roman"/>
          <w:sz w:val="24"/>
          <w:szCs w:val="24"/>
        </w:rPr>
        <w:t xml:space="preserve">.  _.  2006a.  </w:t>
      </w:r>
      <w:r w:rsidRPr="001B74E1">
        <w:rPr>
          <w:rFonts w:ascii="Times New Roman" w:hAnsi="Times New Roman" w:cs="Times New Roman"/>
          <w:i/>
          <w:sz w:val="24"/>
          <w:szCs w:val="24"/>
        </w:rPr>
        <w:t>Etruscan Mythology, Sacred History and Legend</w:t>
      </w:r>
      <w:r w:rsidRPr="00BC50D3">
        <w:rPr>
          <w:rFonts w:ascii="Times New Roman" w:hAnsi="Times New Roman" w:cs="Times New Roman"/>
          <w:sz w:val="24"/>
          <w:szCs w:val="24"/>
        </w:rPr>
        <w:t xml:space="preserve">.  Philadelphia:  Publications of the University of Pennsylvania Museum. </w:t>
      </w:r>
    </w:p>
    <w:p w:rsidR="00BC50D3" w:rsidRDefault="00BC50D3" w:rsidP="00554F31">
      <w:pPr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_____.  2006b.  </w:t>
      </w:r>
      <w:r w:rsidRPr="00BC50D3">
        <w:rPr>
          <w:rFonts w:ascii="Times New Roman" w:hAnsi="Times New Roman" w:cs="Times New Roman"/>
          <w:sz w:val="24"/>
          <w:szCs w:val="24"/>
        </w:rPr>
        <w:t xml:space="preserve">“Mariś the Etruscan Genius.”  In </w:t>
      </w:r>
      <w:r w:rsidRPr="001B74E1">
        <w:rPr>
          <w:rFonts w:ascii="Times New Roman" w:hAnsi="Times New Roman" w:cs="Times New Roman"/>
          <w:i/>
          <w:sz w:val="24"/>
          <w:szCs w:val="24"/>
        </w:rPr>
        <w:t>Across Frontiers:  Studies in Honour of David Ridgway and Francesca R. Serra Ridgway</w:t>
      </w:r>
      <w:r w:rsidRPr="00BC50D3">
        <w:rPr>
          <w:rFonts w:ascii="Times New Roman" w:hAnsi="Times New Roman" w:cs="Times New Roman"/>
          <w:sz w:val="24"/>
          <w:szCs w:val="24"/>
        </w:rPr>
        <w:t xml:space="preserve">. Edited by I. Lemos et al. London:  Accordia Research Institute. </w:t>
      </w:r>
    </w:p>
    <w:p w:rsidR="00C84532" w:rsidRPr="00143769" w:rsidRDefault="00C84532" w:rsidP="00554F31">
      <w:pPr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Tabanelli</w:t>
      </w:r>
      <w:r w:rsidR="00143769">
        <w:rPr>
          <w:rFonts w:ascii="Times New Roman" w:hAnsi="Times New Roman" w:cs="Times New Roman"/>
          <w:sz w:val="24"/>
          <w:szCs w:val="24"/>
        </w:rPr>
        <w:t xml:space="preserve">, M.  1963.  </w:t>
      </w:r>
      <w:r w:rsidR="004A5135">
        <w:rPr>
          <w:rFonts w:ascii="Times New Roman" w:hAnsi="Times New Roman" w:cs="Times New Roman"/>
          <w:i/>
          <w:sz w:val="24"/>
          <w:szCs w:val="24"/>
        </w:rPr>
        <w:t>La Medicina nel Mondo de</w:t>
      </w:r>
      <w:r w:rsidR="00143769">
        <w:rPr>
          <w:rFonts w:ascii="Times New Roman" w:hAnsi="Times New Roman" w:cs="Times New Roman"/>
          <w:i/>
          <w:sz w:val="24"/>
          <w:szCs w:val="24"/>
        </w:rPr>
        <w:t>g</w:t>
      </w:r>
      <w:r w:rsidR="004A5135">
        <w:rPr>
          <w:rFonts w:ascii="Times New Roman" w:hAnsi="Times New Roman" w:cs="Times New Roman"/>
          <w:i/>
          <w:sz w:val="24"/>
          <w:szCs w:val="24"/>
        </w:rPr>
        <w:t>l</w:t>
      </w:r>
      <w:r w:rsidR="00143769">
        <w:rPr>
          <w:rFonts w:ascii="Times New Roman" w:hAnsi="Times New Roman" w:cs="Times New Roman"/>
          <w:i/>
          <w:sz w:val="24"/>
          <w:szCs w:val="24"/>
        </w:rPr>
        <w:t>i Etruschi</w:t>
      </w:r>
      <w:r w:rsidR="00143769">
        <w:rPr>
          <w:rFonts w:ascii="Times New Roman" w:hAnsi="Times New Roman" w:cs="Times New Roman"/>
          <w:sz w:val="24"/>
          <w:szCs w:val="24"/>
        </w:rPr>
        <w:t>.  Florence:  Leo S. Olschki Editore.</w:t>
      </w:r>
    </w:p>
    <w:p w:rsidR="00242054" w:rsidRPr="00BC50D3" w:rsidRDefault="00242054" w:rsidP="00554F31">
      <w:pPr>
        <w:spacing w:after="0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143769">
        <w:rPr>
          <w:rFonts w:ascii="Times New Roman" w:hAnsi="Times New Roman" w:cs="Times New Roman"/>
          <w:sz w:val="24"/>
          <w:szCs w:val="24"/>
        </w:rPr>
        <w:t>Torelli, M.  1988.  “Etruria principles disciplinum doceto.  Il mito normative dello specchio di Tuscania.”  Studia Tarquiniensia (Archaeologia Perusina 9):  109-18.</w:t>
      </w:r>
    </w:p>
    <w:p w:rsidR="00242054" w:rsidRPr="00BC50D3" w:rsidRDefault="00242054" w:rsidP="00AC7AEA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242054" w:rsidRPr="00BC50D3" w:rsidSect="00AC7AEA"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99C" w:rsidRDefault="002B099C" w:rsidP="004860BB">
      <w:pPr>
        <w:spacing w:before="0" w:after="0"/>
      </w:pPr>
      <w:r>
        <w:separator/>
      </w:r>
    </w:p>
  </w:endnote>
  <w:endnote w:type="continuationSeparator" w:id="0">
    <w:p w:rsidR="002B099C" w:rsidRDefault="002B099C" w:rsidP="004860B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99C" w:rsidRDefault="002B099C" w:rsidP="004860BB">
      <w:pPr>
        <w:spacing w:before="0" w:after="0"/>
      </w:pPr>
      <w:r>
        <w:separator/>
      </w:r>
    </w:p>
  </w:footnote>
  <w:footnote w:type="continuationSeparator" w:id="0">
    <w:p w:rsidR="002B099C" w:rsidRDefault="002B099C" w:rsidP="004860BB">
      <w:pPr>
        <w:spacing w:before="0" w:after="0"/>
      </w:pPr>
      <w:r>
        <w:continuationSeparator/>
      </w:r>
    </w:p>
  </w:footnote>
  <w:footnote w:id="1">
    <w:p w:rsidR="000C1D67" w:rsidRDefault="000C1D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E462F">
        <w:t>Hipp. Sacred Disease. suggests a wide range of deities including Apollo, Poseidon, Hekate, or even Ares.</w:t>
      </w:r>
    </w:p>
  </w:footnote>
  <w:footnote w:id="2">
    <w:p w:rsidR="004860BB" w:rsidRDefault="004860BB">
      <w:pPr>
        <w:pStyle w:val="FootnoteText"/>
      </w:pPr>
      <w:r>
        <w:rPr>
          <w:rStyle w:val="FootnoteReference"/>
        </w:rPr>
        <w:footnoteRef/>
      </w:r>
      <w:r w:rsidR="009712CE">
        <w:t xml:space="preserve"> For the purposes of this paper, I shall not treat the problems surrounding Hippocrates’ identity and theories.</w:t>
      </w:r>
    </w:p>
  </w:footnote>
  <w:footnote w:id="3">
    <w:p w:rsidR="0036323B" w:rsidRPr="007007F4" w:rsidRDefault="0036323B" w:rsidP="0036323B">
      <w:pPr>
        <w:pStyle w:val="FootnoteText"/>
      </w:pPr>
      <w:r>
        <w:rPr>
          <w:rStyle w:val="FootnoteReference"/>
        </w:rPr>
        <w:footnoteRef/>
      </w:r>
      <w:r>
        <w:t xml:space="preserve"> Suet. </w:t>
      </w:r>
      <w:r>
        <w:rPr>
          <w:i/>
        </w:rPr>
        <w:t>Vit. Caes.</w:t>
      </w:r>
      <w:r>
        <w:t xml:space="preserve"> 42.1; Suet. </w:t>
      </w:r>
      <w:r>
        <w:rPr>
          <w:i/>
        </w:rPr>
        <w:t>Vit. Cai</w:t>
      </w:r>
      <w:r>
        <w:t>. 50.2.</w:t>
      </w:r>
    </w:p>
  </w:footnote>
  <w:footnote w:id="4">
    <w:p w:rsidR="00EF3F83" w:rsidRPr="00A42548" w:rsidRDefault="00EF3F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42548" w:rsidRPr="00540D47">
        <w:t xml:space="preserve">Ovid </w:t>
      </w:r>
      <w:r w:rsidR="00A42548" w:rsidRPr="00540D47">
        <w:rPr>
          <w:i/>
        </w:rPr>
        <w:t>Met.</w:t>
      </w:r>
      <w:r w:rsidR="00540D47" w:rsidRPr="00540D47">
        <w:t xml:space="preserve"> 15.552-9</w:t>
      </w:r>
      <w:r w:rsidR="00A42548" w:rsidRPr="00540D47">
        <w:t>, Cic</w:t>
      </w:r>
      <w:r w:rsidR="00A42548">
        <w:t xml:space="preserve">. </w:t>
      </w:r>
      <w:r w:rsidR="00A42548">
        <w:rPr>
          <w:i/>
        </w:rPr>
        <w:t>De Div</w:t>
      </w:r>
      <w:r w:rsidR="00434BDA">
        <w:t>. 2.23</w:t>
      </w:r>
      <w:r w:rsidR="00A42548">
        <w:t xml:space="preserve">, John Lyd. </w:t>
      </w:r>
      <w:r w:rsidR="00A42548">
        <w:rPr>
          <w:i/>
        </w:rPr>
        <w:t xml:space="preserve">de Ostentis </w:t>
      </w:r>
      <w:r w:rsidR="00A42548" w:rsidRPr="00A42548">
        <w:t>2.6.B.</w:t>
      </w:r>
    </w:p>
  </w:footnote>
  <w:footnote w:id="5">
    <w:p w:rsidR="00DC0FF5" w:rsidRDefault="00DC0FF5">
      <w:pPr>
        <w:pStyle w:val="FootnoteText"/>
      </w:pPr>
      <w:r>
        <w:rPr>
          <w:rStyle w:val="FootnoteReference"/>
        </w:rPr>
        <w:footnoteRef/>
      </w:r>
      <w:r>
        <w:t xml:space="preserve"> Torelli 1988, fig. 1.</w:t>
      </w:r>
    </w:p>
  </w:footnote>
  <w:footnote w:id="6">
    <w:p w:rsidR="00777B2F" w:rsidRDefault="00777B2F">
      <w:pPr>
        <w:pStyle w:val="FootnoteText"/>
      </w:pPr>
      <w:r w:rsidRPr="0036563E">
        <w:rPr>
          <w:rStyle w:val="FootnoteReference"/>
        </w:rPr>
        <w:footnoteRef/>
      </w:r>
      <w:r w:rsidRPr="0036563E">
        <w:t xml:space="preserve"> </w:t>
      </w:r>
      <w:r w:rsidR="0036563E" w:rsidRPr="0036563E">
        <w:t xml:space="preserve">de Grummond </w:t>
      </w:r>
      <w:r w:rsidR="0036563E">
        <w:t>2006, 24.</w:t>
      </w:r>
    </w:p>
  </w:footnote>
  <w:footnote w:id="7">
    <w:p w:rsidR="00E04810" w:rsidRDefault="00E04810">
      <w:pPr>
        <w:pStyle w:val="FootnoteText"/>
      </w:pPr>
      <w:r>
        <w:rPr>
          <w:rStyle w:val="FootnoteReference"/>
        </w:rPr>
        <w:footnoteRef/>
      </w:r>
      <w:r>
        <w:t xml:space="preserve"> I confine my theory to isolating the nature of Menerva’s action and not fully explaining the meaning of the inscriptions labeling the babies on these mirrors.  A convincing explanation of the babies’ names has been proposed by Nancy de Grummond in her article “Maris the Etruscan Genius.” </w:t>
      </w:r>
    </w:p>
  </w:footnote>
  <w:footnote w:id="8">
    <w:p w:rsidR="009544FC" w:rsidRPr="009544FC" w:rsidRDefault="009544FC">
      <w:pPr>
        <w:pStyle w:val="FootnoteText"/>
      </w:pPr>
      <w:r>
        <w:rPr>
          <w:rStyle w:val="FootnoteReference"/>
        </w:rPr>
        <w:footnoteRef/>
      </w:r>
      <w:r>
        <w:t xml:space="preserve"> Plut. </w:t>
      </w:r>
      <w:r>
        <w:rPr>
          <w:i/>
        </w:rPr>
        <w:t>Vit.</w:t>
      </w:r>
      <w:r>
        <w:t xml:space="preserve"> </w:t>
      </w:r>
      <w:r>
        <w:rPr>
          <w:i/>
        </w:rPr>
        <w:t>Lyc.</w:t>
      </w:r>
      <w:r>
        <w:t xml:space="preserve"> 16.2.</w:t>
      </w:r>
    </w:p>
  </w:footnote>
  <w:footnote w:id="9">
    <w:p w:rsidR="00801634" w:rsidRDefault="00801634">
      <w:pPr>
        <w:pStyle w:val="FootnoteText"/>
      </w:pPr>
      <w:r>
        <w:rPr>
          <w:rStyle w:val="FootnoteReference"/>
        </w:rPr>
        <w:footnoteRef/>
      </w:r>
      <w:r>
        <w:t xml:space="preserve"> Esia mirror, de Grumm 106</w:t>
      </w:r>
      <w:r w:rsidR="00C10081">
        <w:t>, Epiur 67</w:t>
      </w:r>
    </w:p>
  </w:footnote>
  <w:footnote w:id="10">
    <w:p w:rsidR="00455506" w:rsidRDefault="00455506">
      <w:pPr>
        <w:pStyle w:val="FootnoteText"/>
      </w:pPr>
      <w:r>
        <w:rPr>
          <w:rStyle w:val="FootnoteReference"/>
        </w:rPr>
        <w:footnoteRef/>
      </w:r>
      <w:r>
        <w:t xml:space="preserve"> Livy</w:t>
      </w:r>
      <w:r w:rsidR="004A5135">
        <w:t xml:space="preserve"> </w:t>
      </w:r>
      <w:r w:rsidR="009C0606">
        <w:rPr>
          <w:i/>
        </w:rPr>
        <w:t xml:space="preserve">Ab Urb. C. </w:t>
      </w:r>
      <w:r w:rsidR="004A5135">
        <w:t>5.1.6.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D81"/>
    <w:rsid w:val="000138EA"/>
    <w:rsid w:val="000704F4"/>
    <w:rsid w:val="00074847"/>
    <w:rsid w:val="000C1D67"/>
    <w:rsid w:val="0012500D"/>
    <w:rsid w:val="00137259"/>
    <w:rsid w:val="00143769"/>
    <w:rsid w:val="00157313"/>
    <w:rsid w:val="00174E16"/>
    <w:rsid w:val="0019561D"/>
    <w:rsid w:val="001A7F10"/>
    <w:rsid w:val="001B74E1"/>
    <w:rsid w:val="001D15A3"/>
    <w:rsid w:val="001E2E41"/>
    <w:rsid w:val="001E6091"/>
    <w:rsid w:val="00214042"/>
    <w:rsid w:val="00242054"/>
    <w:rsid w:val="002B099C"/>
    <w:rsid w:val="00321A3B"/>
    <w:rsid w:val="00347F88"/>
    <w:rsid w:val="0035216F"/>
    <w:rsid w:val="003613E8"/>
    <w:rsid w:val="0036323B"/>
    <w:rsid w:val="0036563E"/>
    <w:rsid w:val="00373625"/>
    <w:rsid w:val="003A1BA6"/>
    <w:rsid w:val="003A634F"/>
    <w:rsid w:val="003C6D30"/>
    <w:rsid w:val="003E3CCB"/>
    <w:rsid w:val="0040269D"/>
    <w:rsid w:val="00434BDA"/>
    <w:rsid w:val="00455506"/>
    <w:rsid w:val="004860BB"/>
    <w:rsid w:val="004A5135"/>
    <w:rsid w:val="004E462F"/>
    <w:rsid w:val="004E7D30"/>
    <w:rsid w:val="00530D81"/>
    <w:rsid w:val="00532DE7"/>
    <w:rsid w:val="00540D47"/>
    <w:rsid w:val="00554F31"/>
    <w:rsid w:val="00557CEA"/>
    <w:rsid w:val="005977D9"/>
    <w:rsid w:val="00610339"/>
    <w:rsid w:val="00622724"/>
    <w:rsid w:val="006365C5"/>
    <w:rsid w:val="0066268A"/>
    <w:rsid w:val="0066779A"/>
    <w:rsid w:val="00693184"/>
    <w:rsid w:val="006A363D"/>
    <w:rsid w:val="006B0EFC"/>
    <w:rsid w:val="006B4F4F"/>
    <w:rsid w:val="007007F4"/>
    <w:rsid w:val="00732613"/>
    <w:rsid w:val="007353B8"/>
    <w:rsid w:val="007557FD"/>
    <w:rsid w:val="00777B2F"/>
    <w:rsid w:val="007E702D"/>
    <w:rsid w:val="00801634"/>
    <w:rsid w:val="008B7697"/>
    <w:rsid w:val="008F523C"/>
    <w:rsid w:val="009544FC"/>
    <w:rsid w:val="009701B7"/>
    <w:rsid w:val="009712CE"/>
    <w:rsid w:val="00985F62"/>
    <w:rsid w:val="00996673"/>
    <w:rsid w:val="009A282C"/>
    <w:rsid w:val="009C0606"/>
    <w:rsid w:val="009E1EBF"/>
    <w:rsid w:val="00A0673B"/>
    <w:rsid w:val="00A070BD"/>
    <w:rsid w:val="00A265B8"/>
    <w:rsid w:val="00A33458"/>
    <w:rsid w:val="00A42548"/>
    <w:rsid w:val="00A46195"/>
    <w:rsid w:val="00A550A0"/>
    <w:rsid w:val="00A90F77"/>
    <w:rsid w:val="00A950DF"/>
    <w:rsid w:val="00A96C38"/>
    <w:rsid w:val="00A978AF"/>
    <w:rsid w:val="00AB239B"/>
    <w:rsid w:val="00AC7AEA"/>
    <w:rsid w:val="00B320E6"/>
    <w:rsid w:val="00BA238A"/>
    <w:rsid w:val="00BC50D3"/>
    <w:rsid w:val="00BD4ED3"/>
    <w:rsid w:val="00BE2A53"/>
    <w:rsid w:val="00C10081"/>
    <w:rsid w:val="00C2110D"/>
    <w:rsid w:val="00C84532"/>
    <w:rsid w:val="00C912A3"/>
    <w:rsid w:val="00CB20A0"/>
    <w:rsid w:val="00CB3186"/>
    <w:rsid w:val="00CB745F"/>
    <w:rsid w:val="00CD6622"/>
    <w:rsid w:val="00D0357F"/>
    <w:rsid w:val="00D0519B"/>
    <w:rsid w:val="00D14CFD"/>
    <w:rsid w:val="00D73E46"/>
    <w:rsid w:val="00D931DE"/>
    <w:rsid w:val="00D93D5D"/>
    <w:rsid w:val="00D95004"/>
    <w:rsid w:val="00DC0FF5"/>
    <w:rsid w:val="00DF68FE"/>
    <w:rsid w:val="00E041C1"/>
    <w:rsid w:val="00E04810"/>
    <w:rsid w:val="00E134D5"/>
    <w:rsid w:val="00E71F18"/>
    <w:rsid w:val="00ED532E"/>
    <w:rsid w:val="00EF3F83"/>
    <w:rsid w:val="00F010B4"/>
    <w:rsid w:val="00F13D91"/>
    <w:rsid w:val="00F8520D"/>
    <w:rsid w:val="00F9480A"/>
    <w:rsid w:val="00FA595D"/>
    <w:rsid w:val="00FB2453"/>
    <w:rsid w:val="00FC593F"/>
    <w:rsid w:val="00FD4A57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Theme="minorHAnsi" w:hAnsi="Constantia" w:cstheme="minorBidi"/>
        <w:sz w:val="22"/>
        <w:szCs w:val="22"/>
        <w:lang w:val="en-US" w:eastAsia="en-US" w:bidi="ar-SA"/>
      </w:rPr>
    </w:rPrDefault>
    <w:pPrDefault>
      <w:pPr>
        <w:spacing w:before="100" w:after="1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0A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60BB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60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60B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A1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B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B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nstantia" w:eastAsiaTheme="minorHAnsi" w:hAnsi="Constantia" w:cstheme="minorBidi"/>
        <w:sz w:val="22"/>
        <w:szCs w:val="22"/>
        <w:lang w:val="en-US" w:eastAsia="en-US" w:bidi="ar-SA"/>
      </w:rPr>
    </w:rPrDefault>
    <w:pPrDefault>
      <w:pPr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60BB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60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60B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A1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B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B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622</Words>
  <Characters>3547</Characters>
  <Application>Microsoft Macintosh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Information and Instructional Technologies</cp:lastModifiedBy>
  <cp:revision>4</cp:revision>
  <cp:lastPrinted>2011-09-17T21:35:00Z</cp:lastPrinted>
  <dcterms:created xsi:type="dcterms:W3CDTF">2011-09-20T02:30:00Z</dcterms:created>
  <dcterms:modified xsi:type="dcterms:W3CDTF">2011-09-20T02:46:00Z</dcterms:modified>
</cp:coreProperties>
</file>