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77A" w:rsidRPr="00646D64" w:rsidRDefault="00390882" w:rsidP="00015F43">
      <w:pPr>
        <w:ind w:left="-720" w:right="-720"/>
        <w:jc w:val="center"/>
      </w:pPr>
      <w:r w:rsidRPr="00646D64">
        <w:t>Men, Sex, and Scandal:</w:t>
      </w:r>
      <w:r w:rsidR="00646D64">
        <w:t xml:space="preserve"> </w:t>
      </w:r>
      <w:r w:rsidR="00646D64">
        <w:br/>
      </w:r>
      <w:bookmarkStart w:id="0" w:name="_GoBack"/>
      <w:bookmarkEnd w:id="0"/>
      <w:r w:rsidR="008F0951" w:rsidRPr="00646D64">
        <w:t>Anxiety over Male Participation in the Bacchanalian Affair of 186 B.C.E.</w:t>
      </w:r>
    </w:p>
    <w:p w:rsidR="0079777A" w:rsidRDefault="0079777A" w:rsidP="004B025D">
      <w:pPr>
        <w:ind w:left="-720" w:right="-720"/>
      </w:pPr>
    </w:p>
    <w:p w:rsidR="0079777A" w:rsidRDefault="00672924" w:rsidP="00672924">
      <w:pPr>
        <w:ind w:left="-720" w:right="-720"/>
      </w:pPr>
      <w:r>
        <w:tab/>
      </w:r>
      <w:r w:rsidR="0079777A">
        <w:t>T</w:t>
      </w:r>
      <w:r w:rsidR="0079777A" w:rsidRPr="00D657CF">
        <w:t xml:space="preserve">he </w:t>
      </w:r>
      <w:r w:rsidR="0079777A" w:rsidRPr="00D657CF">
        <w:rPr>
          <w:i/>
        </w:rPr>
        <w:t>Senatus Consultum de Bacchanalibus</w:t>
      </w:r>
      <w:r w:rsidR="0079777A" w:rsidRPr="00D657CF">
        <w:t xml:space="preserve"> and</w:t>
      </w:r>
      <w:r w:rsidR="0079777A">
        <w:t xml:space="preserve"> </w:t>
      </w:r>
      <w:r w:rsidR="0079777A" w:rsidRPr="0021168D">
        <w:t>Livy’s</w:t>
      </w:r>
      <w:r w:rsidR="0079777A" w:rsidRPr="00D657CF">
        <w:t xml:space="preserve"> narrative of the event </w:t>
      </w:r>
      <w:r w:rsidR="0079777A" w:rsidRPr="0021168D">
        <w:t>provide a consistent depiction of a verified Roman political/religious scandal, the cult of the Bacchanalia, suppressed in 186 BCE</w:t>
      </w:r>
      <w:r w:rsidR="0079777A" w:rsidRPr="00D657CF">
        <w:t>.</w:t>
      </w:r>
      <w:r w:rsidR="0079777A">
        <w:t xml:space="preserve">  </w:t>
      </w:r>
      <w:r w:rsidR="0079777A" w:rsidRPr="00D657CF">
        <w:t xml:space="preserve">Scholars have </w:t>
      </w:r>
      <w:r w:rsidR="0079777A">
        <w:t xml:space="preserve">painstakingly </w:t>
      </w:r>
      <w:r w:rsidR="0079777A" w:rsidRPr="00D657CF">
        <w:t xml:space="preserve">navigated the </w:t>
      </w:r>
      <w:r w:rsidR="0079777A">
        <w:t>intricacies</w:t>
      </w:r>
      <w:r w:rsidR="0079777A" w:rsidRPr="00D657CF">
        <w:t xml:space="preserve"> of each text </w:t>
      </w:r>
      <w:r w:rsidR="0079777A">
        <w:t xml:space="preserve">in an attempt </w:t>
      </w:r>
      <w:r w:rsidR="0079777A" w:rsidRPr="00D657CF">
        <w:t>to reconstruct the atmosphere of Rome at the time, to define the</w:t>
      </w:r>
      <w:r w:rsidR="0079777A">
        <w:t xml:space="preserve"> contours</w:t>
      </w:r>
      <w:r w:rsidR="0079777A" w:rsidRPr="00D657CF">
        <w:t xml:space="preserve"> of the cult of Bacchus, and to identify the aspects of the cult that might have warranted senatorial action.</w:t>
      </w:r>
      <w:r w:rsidR="0079777A">
        <w:t xml:space="preserve">  </w:t>
      </w:r>
      <w:r w:rsidR="0079777A" w:rsidRPr="00D657CF">
        <w:t>Analyzing the sources</w:t>
      </w:r>
      <w:r w:rsidR="0079777A">
        <w:t>,</w:t>
      </w:r>
      <w:r w:rsidR="0079777A" w:rsidRPr="00D657CF">
        <w:t xml:space="preserve"> </w:t>
      </w:r>
      <w:r w:rsidR="0079777A">
        <w:t xml:space="preserve">I demonstrate in this paper that </w:t>
      </w:r>
      <w:r w:rsidR="0079777A" w:rsidRPr="00D657CF">
        <w:t xml:space="preserve">both texts highlight a singular </w:t>
      </w:r>
      <w:r w:rsidR="0079777A">
        <w:t xml:space="preserve">Roman concern with </w:t>
      </w:r>
      <w:r w:rsidR="0079777A" w:rsidRPr="00D657CF">
        <w:t>the Bacchic cult: the participation of men</w:t>
      </w:r>
      <w:r w:rsidR="0079777A">
        <w:t>.</w:t>
      </w:r>
    </w:p>
    <w:p w:rsidR="0079777A" w:rsidRDefault="00672924" w:rsidP="00672924">
      <w:pPr>
        <w:ind w:left="-720" w:right="-720"/>
      </w:pPr>
      <w:r>
        <w:tab/>
      </w:r>
      <w:r w:rsidR="0079777A" w:rsidRPr="00D657CF">
        <w:t xml:space="preserve">The regulations of the </w:t>
      </w:r>
      <w:r w:rsidR="0079777A" w:rsidRPr="00D657CF">
        <w:rPr>
          <w:i/>
        </w:rPr>
        <w:t>Senatus Consultum</w:t>
      </w:r>
      <w:r w:rsidR="0079777A" w:rsidRPr="00D657CF">
        <w:t xml:space="preserve"> under</w:t>
      </w:r>
      <w:r w:rsidR="0079777A">
        <w:t>score two</w:t>
      </w:r>
      <w:r w:rsidR="0079777A" w:rsidRPr="00D657CF">
        <w:t xml:space="preserve"> </w:t>
      </w:r>
      <w:r w:rsidR="0079777A">
        <w:t>significant points.  First, t</w:t>
      </w:r>
      <w:r w:rsidR="0079777A" w:rsidRPr="00D657CF">
        <w:t>he Senate aimed not to eradicate the cult of Bacchus, but to restructure it.</w:t>
      </w:r>
      <w:r w:rsidR="0079777A">
        <w:t xml:space="preserve"> Second, the proposed restructuring specifically targets</w:t>
      </w:r>
      <w:r w:rsidR="0079777A" w:rsidRPr="00D657CF">
        <w:t xml:space="preserve"> the ge</w:t>
      </w:r>
      <w:r w:rsidR="0079777A">
        <w:t>nder and number of participants, sin</w:t>
      </w:r>
      <w:r w:rsidR="00B64FF1">
        <w:t>gling out upper-class Roman men</w:t>
      </w:r>
      <w:r w:rsidR="0079777A">
        <w:t xml:space="preserve">.  This fact is realized in two distinct ways.  The terminology of the </w:t>
      </w:r>
      <w:r w:rsidR="0079777A" w:rsidRPr="00D657CF">
        <w:t>decree</w:t>
      </w:r>
      <w:r w:rsidR="0079777A">
        <w:t xml:space="preserve"> features gendered language that differentiates betwee</w:t>
      </w:r>
      <w:r w:rsidR="008F0951">
        <w:t>n male and female pa</w:t>
      </w:r>
      <w:r w:rsidR="00B64FF1">
        <w:t>rticipants (</w:t>
      </w:r>
      <w:r w:rsidR="008F0951" w:rsidRPr="008F0951">
        <w:rPr>
          <w:i/>
        </w:rPr>
        <w:t>neve iner ibei virei plous duobus, mulieribus plous tribus arfuise velent</w:t>
      </w:r>
      <w:r w:rsidR="00B64FF1">
        <w:t xml:space="preserve">, </w:t>
      </w:r>
      <w:r w:rsidR="008F0951">
        <w:t>Senatus Consultum 19-21)</w:t>
      </w:r>
      <w:r w:rsidR="0079777A">
        <w:t>.</w:t>
      </w:r>
      <w:r w:rsidR="0079777A" w:rsidRPr="00D657CF">
        <w:t xml:space="preserve"> </w:t>
      </w:r>
      <w:r w:rsidR="0079777A">
        <w:t xml:space="preserve"> M</w:t>
      </w:r>
      <w:r w:rsidR="0079777A" w:rsidRPr="00D657CF">
        <w:t xml:space="preserve">ale participation in the cult is addressed more frequently and is more </w:t>
      </w:r>
      <w:r w:rsidR="0079777A">
        <w:t xml:space="preserve">explicitly </w:t>
      </w:r>
      <w:r w:rsidR="0079777A" w:rsidRPr="00D657CF">
        <w:t>restricted</w:t>
      </w:r>
      <w:r w:rsidR="0079777A">
        <w:t>. S</w:t>
      </w:r>
      <w:r w:rsidR="0079777A" w:rsidRPr="00D657CF">
        <w:t xml:space="preserve">ection seven suggests that a man is out of place by participating in rites </w:t>
      </w:r>
      <w:r w:rsidR="0079777A">
        <w:t xml:space="preserve">typically preserved for females, stating that neither a </w:t>
      </w:r>
      <w:r w:rsidR="0079777A">
        <w:rPr>
          <w:i/>
        </w:rPr>
        <w:t>vir</w:t>
      </w:r>
      <w:r w:rsidR="0079777A">
        <w:t xml:space="preserve"> nor a </w:t>
      </w:r>
      <w:r w:rsidR="0079777A">
        <w:rPr>
          <w:i/>
        </w:rPr>
        <w:t>Romanus</w:t>
      </w:r>
      <w:r w:rsidR="0079777A">
        <w:t xml:space="preserve">, nor a </w:t>
      </w:r>
      <w:r w:rsidR="0079777A">
        <w:rPr>
          <w:i/>
        </w:rPr>
        <w:t>nominus Latinus</w:t>
      </w:r>
      <w:r w:rsidR="0079777A">
        <w:t xml:space="preserve">, nor </w:t>
      </w:r>
      <w:r w:rsidR="00390882" w:rsidRPr="00390882">
        <w:rPr>
          <w:i/>
        </w:rPr>
        <w:t>socius</w:t>
      </w:r>
      <w:r w:rsidR="00FB04B2">
        <w:t xml:space="preserve"> </w:t>
      </w:r>
      <w:r w:rsidR="0079777A">
        <w:t>should be present at gatherings of the Bacchants.  Furthermore, the proposed restrictions in the decree focus on the hierarchical structure of the cult, eradicating leadership opportunities for males.  Priestesses of the cult are not prohibited</w:t>
      </w:r>
      <w:r w:rsidR="00390882">
        <w:t>,</w:t>
      </w:r>
      <w:r w:rsidR="0079777A">
        <w:t xml:space="preserve"> while the male priest (</w:t>
      </w:r>
      <w:r w:rsidR="0079777A">
        <w:rPr>
          <w:i/>
        </w:rPr>
        <w:t>sacerdos</w:t>
      </w:r>
      <w:r w:rsidR="0079777A">
        <w:t xml:space="preserve">) is forbidden. </w:t>
      </w:r>
      <w:r w:rsidR="0079777A" w:rsidRPr="00D657CF">
        <w:t>Th</w:t>
      </w:r>
      <w:r w:rsidR="0079777A">
        <w:t>is</w:t>
      </w:r>
      <w:r w:rsidR="0079777A" w:rsidRPr="00D657CF">
        <w:t xml:space="preserve"> rigorous </w:t>
      </w:r>
      <w:r w:rsidR="0079777A">
        <w:t>limitation</w:t>
      </w:r>
      <w:r w:rsidR="0079777A" w:rsidRPr="00D657CF">
        <w:t xml:space="preserve"> of male participation</w:t>
      </w:r>
      <w:r w:rsidR="0079777A">
        <w:t xml:space="preserve">, distinct from that of any other category, </w:t>
      </w:r>
      <w:r w:rsidR="0079777A" w:rsidRPr="00D657CF">
        <w:t>attests that male involvement in the cult was the central concern for the Roman senate.</w:t>
      </w:r>
    </w:p>
    <w:p w:rsidR="0079777A" w:rsidRDefault="00672924" w:rsidP="00672924">
      <w:pPr>
        <w:spacing w:before="240"/>
        <w:ind w:left="-720" w:right="-720"/>
      </w:pPr>
      <w:r>
        <w:tab/>
      </w:r>
      <w:r w:rsidR="0079777A" w:rsidRPr="00D657CF">
        <w:t xml:space="preserve">Livy’s account provides what the </w:t>
      </w:r>
      <w:r w:rsidR="0079777A" w:rsidRPr="00D657CF">
        <w:rPr>
          <w:i/>
        </w:rPr>
        <w:t>Senatus Consultum</w:t>
      </w:r>
      <w:r w:rsidR="0079777A" w:rsidRPr="00D657CF">
        <w:t xml:space="preserve"> does not: a detailed story about the events in Rome that </w:t>
      </w:r>
      <w:r w:rsidR="0079777A">
        <w:t xml:space="preserve">precipitated </w:t>
      </w:r>
      <w:r w:rsidR="0079777A" w:rsidRPr="00D657CF">
        <w:t xml:space="preserve">the decree.  Livy records the origins of the Roman cult, its structure and rituals, the means by which it was exposed to the government, and the reactionary proceedings of the consuls.  However, while the </w:t>
      </w:r>
      <w:r w:rsidR="0079777A" w:rsidRPr="00D657CF">
        <w:rPr>
          <w:i/>
        </w:rPr>
        <w:t>Senatus Consultum</w:t>
      </w:r>
      <w:r w:rsidR="0079777A" w:rsidRPr="00D657CF">
        <w:t xml:space="preserve"> is an authentic, ancient document, Livy’s account is </w:t>
      </w:r>
      <w:r w:rsidR="0079777A">
        <w:t xml:space="preserve">frequently </w:t>
      </w:r>
      <w:r w:rsidR="0079777A" w:rsidRPr="00D657CF">
        <w:t xml:space="preserve">criticized </w:t>
      </w:r>
      <w:r w:rsidR="0079777A">
        <w:t>as a source of dubious</w:t>
      </w:r>
      <w:r w:rsidR="0079777A" w:rsidRPr="00D657CF">
        <w:t xml:space="preserve"> historical reliability, particularly as it comes nearly two hundred years after the event (</w:t>
      </w:r>
      <w:r w:rsidR="00BA64F1">
        <w:t xml:space="preserve">e.g. </w:t>
      </w:r>
      <w:r w:rsidR="00BA64F1" w:rsidRPr="00BA64F1">
        <w:rPr>
          <w:u w:val="dotted"/>
        </w:rPr>
        <w:t>Pag</w:t>
      </w:r>
      <w:r w:rsidR="000D10D5">
        <w:rPr>
          <w:u w:val="dotted"/>
        </w:rPr>
        <w:t>á</w:t>
      </w:r>
      <w:r w:rsidR="00B85889" w:rsidRPr="00BA64F1">
        <w:rPr>
          <w:u w:val="dotted"/>
        </w:rPr>
        <w:t>n</w:t>
      </w:r>
      <w:r w:rsidR="00B85889">
        <w:t>, North)</w:t>
      </w:r>
      <w:r w:rsidR="0079777A" w:rsidRPr="00D657CF">
        <w:t>.</w:t>
      </w:r>
      <w:r w:rsidR="0079777A">
        <w:t xml:space="preserve">  </w:t>
      </w:r>
      <w:r w:rsidR="0079777A" w:rsidRPr="00D657CF">
        <w:t xml:space="preserve">Many of Livy’s embellishments reflect his personal values, providing some insight </w:t>
      </w:r>
      <w:r w:rsidR="0079777A">
        <w:t>in</w:t>
      </w:r>
      <w:r w:rsidR="0079777A" w:rsidRPr="00D657CF">
        <w:t>to upper-class Roman attitudes of the Augustan era</w:t>
      </w:r>
      <w:r w:rsidR="0079777A">
        <w:t xml:space="preserve"> </w:t>
      </w:r>
      <w:r w:rsidR="0079777A" w:rsidRPr="008F0951">
        <w:t>(Evans 1998: 112)</w:t>
      </w:r>
      <w:r w:rsidR="0079777A" w:rsidRPr="00D657CF">
        <w:t>.</w:t>
      </w:r>
      <w:r w:rsidR="0079777A">
        <w:t xml:space="preserve"> </w:t>
      </w:r>
      <w:r w:rsidR="0079777A" w:rsidRPr="00D657CF">
        <w:t>His narrative is best read</w:t>
      </w:r>
      <w:r w:rsidR="0079777A">
        <w:t xml:space="preserve"> </w:t>
      </w:r>
      <w:r w:rsidR="0079777A" w:rsidRPr="00D657CF">
        <w:t>not as an authority on Bacchic worship in Rome, but</w:t>
      </w:r>
      <w:r w:rsidR="0079777A">
        <w:t xml:space="preserve"> rather as a campaign to explain</w:t>
      </w:r>
      <w:r w:rsidR="0079777A" w:rsidRPr="00D657CF">
        <w:t xml:space="preserve"> the suppression of the Bacchants</w:t>
      </w:r>
      <w:r w:rsidR="0079777A">
        <w:t xml:space="preserve"> </w:t>
      </w:r>
      <w:r w:rsidR="0079777A" w:rsidRPr="008F0951">
        <w:t>(</w:t>
      </w:r>
      <w:r w:rsidR="008F0951" w:rsidRPr="008F0951">
        <w:t>Gruen 1990</w:t>
      </w:r>
      <w:r w:rsidR="0079777A" w:rsidRPr="008F0951">
        <w:t>: 64).</w:t>
      </w:r>
      <w:r w:rsidR="0079777A">
        <w:t xml:space="preserve"> </w:t>
      </w:r>
    </w:p>
    <w:p w:rsidR="0079777A" w:rsidRDefault="00672924" w:rsidP="00672924">
      <w:pPr>
        <w:ind w:left="-720" w:right="-720"/>
      </w:pPr>
      <w:r>
        <w:tab/>
      </w:r>
      <w:r w:rsidR="0079777A">
        <w:t>In examining three passages</w:t>
      </w:r>
      <w:r w:rsidR="0079777A" w:rsidRPr="00D657CF">
        <w:t xml:space="preserve"> in which Liv</w:t>
      </w:r>
      <w:r w:rsidR="00B64FF1">
        <w:t>y discusses the cult rituals (39.8; 39.13.8-14; 39.15-16</w:t>
      </w:r>
      <w:r w:rsidR="0079777A">
        <w:t>), it becomes evident that</w:t>
      </w:r>
      <w:r w:rsidR="0079777A" w:rsidRPr="00D657CF">
        <w:t xml:space="preserve"> </w:t>
      </w:r>
      <w:r w:rsidR="0079777A">
        <w:t xml:space="preserve">Livy views </w:t>
      </w:r>
      <w:r w:rsidR="0079777A" w:rsidRPr="00D657CF">
        <w:t xml:space="preserve">the cult as a </w:t>
      </w:r>
      <w:r w:rsidR="0079777A">
        <w:t>source</w:t>
      </w:r>
      <w:r w:rsidR="0079777A" w:rsidRPr="00D657CF">
        <w:t xml:space="preserve"> of moral corruption spreading rapidly through Rome.  </w:t>
      </w:r>
      <w:r w:rsidR="00C82DF9">
        <w:t>Specifically, h</w:t>
      </w:r>
      <w:r w:rsidR="0079777A" w:rsidRPr="00D657CF">
        <w:t>e singles out</w:t>
      </w:r>
      <w:r w:rsidR="0079777A">
        <w:t xml:space="preserve"> </w:t>
      </w:r>
      <w:r w:rsidR="0079777A" w:rsidRPr="00D657CF">
        <w:t>the participation of men as the cult characteristic he considers the most problematic and dangerous, and thus the catalyst for Senatorial action.</w:t>
      </w:r>
      <w:r w:rsidR="0079777A" w:rsidRPr="00BA64F1">
        <w:t xml:space="preserve">  </w:t>
      </w:r>
      <w:r w:rsidR="0079777A" w:rsidRPr="0021168D">
        <w:t>First, Livy’s initial description of the cult’s Greek origins presents its practices as dangerous, and corruptive, repeatedly emphasizing that mixed-gender cult activities were t</w:t>
      </w:r>
      <w:r w:rsidR="00C82DF9">
        <w:t xml:space="preserve">he means of debauchery of young </w:t>
      </w:r>
      <w:r w:rsidR="0079777A" w:rsidRPr="0021168D">
        <w:t>citizen men.</w:t>
      </w:r>
      <w:r w:rsidR="0079777A">
        <w:t xml:space="preserve">  Second, Hispala’s account of the same cult practices similarly portrays the cult as a repository of moral corruption.  Her report includes details about peculiar structural changes in the cult that identify male involvement as a cata</w:t>
      </w:r>
      <w:r w:rsidR="00E04402">
        <w:t>lyst for the cult’s suppression:</w:t>
      </w:r>
      <w:r w:rsidR="0079777A">
        <w:t xml:space="preserve"> </w:t>
      </w:r>
      <w:r w:rsidR="00E04402" w:rsidRPr="00E04402">
        <w:rPr>
          <w:i/>
        </w:rPr>
        <w:t>Pacullam Anniam Campanam sacerdotem omnia, tamquam deum monitu, immutasse: nam et viros eam primam filios suos initiasse</w:t>
      </w:r>
      <w:r w:rsidR="00E04402">
        <w:t xml:space="preserve"> (39.13.9).</w:t>
      </w:r>
      <w:r w:rsidR="0079777A">
        <w:t xml:space="preserve"> Finally, the speech of Spurius Postumius Albinus, likely echoing the objective of the author, </w:t>
      </w:r>
      <w:r w:rsidR="00C82DF9">
        <w:t xml:space="preserve">depicts the cult as an explicit </w:t>
      </w:r>
      <w:r w:rsidR="0079777A">
        <w:t>threat to the state.  Spurius cites male involvement and the distraction of male citizens from their proper duties in society as the most damaging aspects of the Bacchic cult</w:t>
      </w:r>
      <w:r w:rsidR="00E04402">
        <w:t xml:space="preserve">: </w:t>
      </w:r>
      <w:r w:rsidR="00E04402">
        <w:rPr>
          <w:i/>
        </w:rPr>
        <w:t>hoc sacramento initiatos iuvenes milites faciendos censetis, Quirites?</w:t>
      </w:r>
      <w:r w:rsidR="00E04402">
        <w:t xml:space="preserve"> (39.15.13)</w:t>
      </w:r>
      <w:r w:rsidR="0079777A">
        <w:t xml:space="preserve">.  </w:t>
      </w:r>
    </w:p>
    <w:p w:rsidR="0079777A" w:rsidRPr="00D657CF" w:rsidRDefault="00672924" w:rsidP="00FB04B2">
      <w:pPr>
        <w:ind w:left="-720" w:right="-720"/>
      </w:pPr>
      <w:r>
        <w:tab/>
      </w:r>
      <w:r w:rsidR="0079777A" w:rsidRPr="00D657CF">
        <w:t xml:space="preserve">Examined </w:t>
      </w:r>
      <w:r w:rsidR="0079777A" w:rsidRPr="00477E2B">
        <w:t>together</w:t>
      </w:r>
      <w:r w:rsidR="00FB04B2">
        <w:t>, the two sources operate in a</w:t>
      </w:r>
      <w:r w:rsidR="0079777A">
        <w:t xml:space="preserve"> </w:t>
      </w:r>
      <w:r w:rsidR="00FB04B2" w:rsidRPr="00FB04B2">
        <w:t>comple</w:t>
      </w:r>
      <w:r w:rsidR="00D007F3" w:rsidRPr="00FB04B2">
        <w:t>mentary</w:t>
      </w:r>
      <w:r w:rsidR="00D007F3">
        <w:rPr>
          <w:b/>
        </w:rPr>
        <w:t xml:space="preserve"> </w:t>
      </w:r>
      <w:r w:rsidR="0079777A" w:rsidRPr="00D657CF">
        <w:t xml:space="preserve">fashion to demonstrate </w:t>
      </w:r>
      <w:r w:rsidR="0079777A">
        <w:t>the Senate’s</w:t>
      </w:r>
      <w:r w:rsidR="0079777A" w:rsidRPr="00D657CF">
        <w:t xml:space="preserve"> express </w:t>
      </w:r>
      <w:r w:rsidR="0079777A">
        <w:t>concern with</w:t>
      </w:r>
      <w:r w:rsidR="0079777A" w:rsidRPr="00D657CF">
        <w:t xml:space="preserve"> male participation in the cult.  The </w:t>
      </w:r>
      <w:r w:rsidR="0079777A" w:rsidRPr="00D657CF">
        <w:rPr>
          <w:i/>
        </w:rPr>
        <w:t>Senatus Consultum</w:t>
      </w:r>
      <w:r w:rsidR="0079777A">
        <w:rPr>
          <w:i/>
        </w:rPr>
        <w:t xml:space="preserve"> </w:t>
      </w:r>
      <w:r w:rsidR="0079777A">
        <w:t>imposes</w:t>
      </w:r>
      <w:r w:rsidR="0079777A" w:rsidRPr="00D657CF">
        <w:t xml:space="preserve"> restrictions </w:t>
      </w:r>
      <w:r w:rsidR="0079777A">
        <w:t>that particularly target</w:t>
      </w:r>
      <w:r w:rsidR="00FB04B2">
        <w:t xml:space="preserve"> men;</w:t>
      </w:r>
      <w:r w:rsidR="0079777A" w:rsidRPr="00D657CF">
        <w:t xml:space="preserve"> Livy d</w:t>
      </w:r>
      <w:r w:rsidR="0079777A">
        <w:t>raws upon</w:t>
      </w:r>
      <w:r w:rsidR="00477E2B">
        <w:t xml:space="preserve"> structural changes in the Bacchanalia</w:t>
      </w:r>
      <w:r w:rsidR="0079777A" w:rsidRPr="00D657CF">
        <w:t xml:space="preserve">, cult practices, and the consular prosecution to </w:t>
      </w:r>
      <w:r w:rsidR="0079777A">
        <w:t>call attention to</w:t>
      </w:r>
      <w:r w:rsidR="0079777A" w:rsidRPr="00D657CF">
        <w:t xml:space="preserve"> the role of men in the cult.  </w:t>
      </w:r>
      <w:r w:rsidR="0079777A">
        <w:t>In each source,</w:t>
      </w:r>
      <w:r w:rsidR="0079777A" w:rsidRPr="00D657CF">
        <w:t xml:space="preserve"> the singularity of male involvement </w:t>
      </w:r>
      <w:r w:rsidR="0079777A">
        <w:t>is</w:t>
      </w:r>
      <w:r w:rsidR="0079777A" w:rsidRPr="00D657CF">
        <w:t xml:space="preserve"> firmly established </w:t>
      </w:r>
      <w:r w:rsidR="0079777A">
        <w:t>as a</w:t>
      </w:r>
      <w:r w:rsidR="0079777A" w:rsidRPr="00D657CF">
        <w:t xml:space="preserve"> critical origin of </w:t>
      </w:r>
      <w:r w:rsidR="0079777A">
        <w:t xml:space="preserve">the </w:t>
      </w:r>
      <w:r w:rsidR="0079777A" w:rsidRPr="00D657CF">
        <w:t>controversy.</w:t>
      </w:r>
      <w:r w:rsidR="00FB04B2">
        <w:t xml:space="preserve">  For </w:t>
      </w:r>
      <w:r w:rsidR="00D007F3">
        <w:t>both the senate in 186 and for Livy, over 160 years later, the</w:t>
      </w:r>
      <w:r w:rsidR="00FB04B2">
        <w:t xml:space="preserve"> moral destruction of young men</w:t>
      </w:r>
      <w:r w:rsidR="00D007F3">
        <w:t xml:space="preserve"> poses a threat to Rome greater than anythi</w:t>
      </w:r>
      <w:r w:rsidR="00FB04B2">
        <w:t>ng else in this exotic scandal.</w:t>
      </w:r>
    </w:p>
    <w:p w:rsidR="0079777A" w:rsidRPr="00D657CF" w:rsidRDefault="0079777A" w:rsidP="00ED0E15">
      <w:pPr>
        <w:ind w:left="-720" w:right="-720" w:firstLine="720"/>
      </w:pPr>
    </w:p>
    <w:p w:rsidR="00672924" w:rsidRDefault="0079777A" w:rsidP="00672924">
      <w:pPr>
        <w:ind w:left="-720" w:right="-720"/>
        <w:rPr>
          <w:b/>
        </w:rPr>
      </w:pPr>
      <w:r w:rsidRPr="00672924">
        <w:rPr>
          <w:b/>
        </w:rPr>
        <w:t>Works Cited</w:t>
      </w:r>
    </w:p>
    <w:p w:rsidR="003E731A" w:rsidRPr="00943982" w:rsidRDefault="003E731A" w:rsidP="003E731A">
      <w:pPr>
        <w:ind w:left="-450" w:hanging="270"/>
      </w:pPr>
      <w:r w:rsidRPr="00943982">
        <w:t xml:space="preserve">Evans, Arthur. </w:t>
      </w:r>
      <w:r w:rsidRPr="00943982">
        <w:rPr>
          <w:i/>
        </w:rPr>
        <w:t>The God of Ecstasy: Sex Roles and the Madness of Dionysus</w:t>
      </w:r>
      <w:r w:rsidRPr="00943982">
        <w:t>. New York: St. Martin’s Press, 1998.</w:t>
      </w:r>
    </w:p>
    <w:p w:rsidR="003E731A" w:rsidRDefault="003E731A" w:rsidP="003E731A">
      <w:pPr>
        <w:ind w:left="-450" w:hanging="270"/>
      </w:pPr>
      <w:r w:rsidRPr="00943982">
        <w:t xml:space="preserve">Gruen, Erich S. </w:t>
      </w:r>
      <w:r w:rsidRPr="00943982">
        <w:rPr>
          <w:i/>
        </w:rPr>
        <w:t xml:space="preserve"> Studies in Greek Culture and Roman Policy</w:t>
      </w:r>
      <w:r w:rsidRPr="00943982">
        <w:t>. Leiden: E.J. Brill, 1990.</w:t>
      </w:r>
    </w:p>
    <w:p w:rsidR="003E731A" w:rsidRPr="00943982" w:rsidRDefault="003E731A" w:rsidP="003E731A">
      <w:pPr>
        <w:ind w:left="-450" w:hanging="270"/>
      </w:pPr>
      <w:r w:rsidRPr="00943982">
        <w:t xml:space="preserve">North, John. </w:t>
      </w:r>
      <w:r w:rsidRPr="00943982">
        <w:rPr>
          <w:i/>
        </w:rPr>
        <w:t>Roman Religion</w:t>
      </w:r>
      <w:r w:rsidR="00C82DF9">
        <w:t>. Cambridge: Cambridge</w:t>
      </w:r>
      <w:r w:rsidRPr="00943982">
        <w:t xml:space="preserve"> </w:t>
      </w:r>
      <w:r w:rsidR="00C82DF9">
        <w:t>University Press, 2000</w:t>
      </w:r>
      <w:r w:rsidRPr="00943982">
        <w:t>.</w:t>
      </w:r>
    </w:p>
    <w:p w:rsidR="00D007F3" w:rsidRDefault="00D007F3" w:rsidP="003E731A">
      <w:pPr>
        <w:ind w:left="-450" w:hanging="270"/>
      </w:pPr>
      <w:r>
        <w:t>Pagá</w:t>
      </w:r>
      <w:r w:rsidR="003E731A" w:rsidRPr="00943982">
        <w:t xml:space="preserve">n, Victoria Emma. </w:t>
      </w:r>
      <w:r w:rsidR="003E731A" w:rsidRPr="00943982">
        <w:rPr>
          <w:i/>
        </w:rPr>
        <w:t>Conspiracy Narratives in Roman History</w:t>
      </w:r>
      <w:r w:rsidR="003E731A" w:rsidRPr="00943982">
        <w:t>. Austin: University of Texas, Press 2004.</w:t>
      </w:r>
      <w:r>
        <w:t xml:space="preserve">  </w:t>
      </w:r>
    </w:p>
    <w:p w:rsidR="00D007F3" w:rsidRDefault="00D007F3" w:rsidP="003E731A">
      <w:pPr>
        <w:ind w:left="-450" w:hanging="270"/>
      </w:pPr>
    </w:p>
    <w:p w:rsidR="0079777A" w:rsidRDefault="0079777A" w:rsidP="00FB04B2"/>
    <w:sectPr w:rsidR="0079777A" w:rsidSect="00ED0E1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446"/>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rsids>
    <w:rsidRoot w:val="00911637"/>
    <w:rsid w:val="00015F43"/>
    <w:rsid w:val="000B66EB"/>
    <w:rsid w:val="000D10D5"/>
    <w:rsid w:val="001929A0"/>
    <w:rsid w:val="001F0D00"/>
    <w:rsid w:val="0021168D"/>
    <w:rsid w:val="002764DB"/>
    <w:rsid w:val="00297FBA"/>
    <w:rsid w:val="002A6B83"/>
    <w:rsid w:val="0031029C"/>
    <w:rsid w:val="00390882"/>
    <w:rsid w:val="003E731A"/>
    <w:rsid w:val="00477E2B"/>
    <w:rsid w:val="004B025D"/>
    <w:rsid w:val="004D5221"/>
    <w:rsid w:val="00646D64"/>
    <w:rsid w:val="00672924"/>
    <w:rsid w:val="006D50DB"/>
    <w:rsid w:val="007335D4"/>
    <w:rsid w:val="00781B46"/>
    <w:rsid w:val="00791905"/>
    <w:rsid w:val="0079777A"/>
    <w:rsid w:val="007C40A6"/>
    <w:rsid w:val="008A23D4"/>
    <w:rsid w:val="008F0951"/>
    <w:rsid w:val="009043DD"/>
    <w:rsid w:val="00911637"/>
    <w:rsid w:val="0092322B"/>
    <w:rsid w:val="009338AB"/>
    <w:rsid w:val="00960FB4"/>
    <w:rsid w:val="00B100DC"/>
    <w:rsid w:val="00B26A7F"/>
    <w:rsid w:val="00B64FF1"/>
    <w:rsid w:val="00B85889"/>
    <w:rsid w:val="00BA64F1"/>
    <w:rsid w:val="00BE3415"/>
    <w:rsid w:val="00C3462E"/>
    <w:rsid w:val="00C82DF9"/>
    <w:rsid w:val="00D007F3"/>
    <w:rsid w:val="00D04EEC"/>
    <w:rsid w:val="00D657CF"/>
    <w:rsid w:val="00D84347"/>
    <w:rsid w:val="00DD512C"/>
    <w:rsid w:val="00E04402"/>
    <w:rsid w:val="00E30E4B"/>
    <w:rsid w:val="00E97B9C"/>
    <w:rsid w:val="00EB4F48"/>
    <w:rsid w:val="00ED0E15"/>
    <w:rsid w:val="00ED6D3B"/>
    <w:rsid w:val="00F572B7"/>
    <w:rsid w:val="00F75DF8"/>
    <w:rsid w:val="00FB04B2"/>
  </w:rsids>
  <m:mathPr>
    <m:mathFont m:val="Lucida Grande"/>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4DB"/>
    <w:pPr>
      <w:spacing w:after="200"/>
    </w:pPr>
    <w:rPr>
      <w:rFonts w:ascii="Times New Roman" w:hAnsi="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semiHidden/>
    <w:rsid w:val="008A23D4"/>
    <w:pPr>
      <w:spacing w:after="0"/>
    </w:pPr>
    <w:rPr>
      <w:rFonts w:ascii="Cambria" w:hAnsi="Cambria"/>
    </w:rPr>
  </w:style>
  <w:style w:type="character" w:customStyle="1" w:styleId="FootnoteTextChar">
    <w:name w:val="Footnote Text Char"/>
    <w:basedOn w:val="DefaultParagraphFont"/>
    <w:link w:val="FootnoteText"/>
    <w:uiPriority w:val="99"/>
    <w:semiHidden/>
    <w:rsid w:val="008A23D4"/>
    <w:rPr>
      <w:rFonts w:ascii="Cambria" w:eastAsia="Times New Roman" w:hAnsi="Cambria" w:cs="Times New Roman"/>
    </w:rPr>
  </w:style>
  <w:style w:type="character" w:styleId="FootnoteReference">
    <w:name w:val="footnote reference"/>
    <w:basedOn w:val="DefaultParagraphFont"/>
    <w:uiPriority w:val="99"/>
    <w:semiHidden/>
    <w:rsid w:val="008A23D4"/>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4DB"/>
    <w:pPr>
      <w:spacing w:after="20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8A23D4"/>
    <w:pPr>
      <w:spacing w:after="0"/>
    </w:pPr>
    <w:rPr>
      <w:rFonts w:ascii="Cambria" w:hAnsi="Cambria"/>
    </w:rPr>
  </w:style>
  <w:style w:type="character" w:customStyle="1" w:styleId="FootnoteTextChar">
    <w:name w:val="Footnote Text Char"/>
    <w:basedOn w:val="DefaultParagraphFont"/>
    <w:link w:val="FootnoteText"/>
    <w:uiPriority w:val="99"/>
    <w:semiHidden/>
    <w:rsid w:val="008A23D4"/>
    <w:rPr>
      <w:rFonts w:ascii="Cambria" w:eastAsia="Times New Roman" w:hAnsi="Cambria" w:cs="Times New Roman"/>
    </w:rPr>
  </w:style>
  <w:style w:type="character" w:styleId="FootnoteReference">
    <w:name w:val="footnote reference"/>
    <w:basedOn w:val="DefaultParagraphFont"/>
    <w:uiPriority w:val="99"/>
    <w:semiHidden/>
    <w:rsid w:val="008A23D4"/>
    <w:rPr>
      <w:rFonts w:cs="Times New Roman"/>
      <w:vertAlign w:val="superscript"/>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6" Type="http://schemas.microsoft.com/office/2007/relationships/stylesWithEffects" Target="stylesWithEffect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773</Words>
  <Characters>4411</Characters>
  <Application>Microsoft Macintosh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5417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Sienkewicz, Thomas J.</dc:creator>
  <cp:lastModifiedBy>Information and Instructional Technologies</cp:lastModifiedBy>
  <cp:revision>3</cp:revision>
  <dcterms:created xsi:type="dcterms:W3CDTF">2011-09-22T14:46:00Z</dcterms:created>
  <dcterms:modified xsi:type="dcterms:W3CDTF">2011-09-22T18:13:00Z</dcterms:modified>
</cp:coreProperties>
</file>