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9D" w:rsidRDefault="00D02246">
      <w:pPr>
        <w:jc w:val="center"/>
      </w:pPr>
      <w:r>
        <w:rPr>
          <w:rFonts w:ascii="Times New Roman" w:cs="Times New Roman"/>
        </w:rPr>
        <w:t>Complaints of an Old Lady: Sappho, Women, and the Aging Process</w:t>
      </w:r>
    </w:p>
    <w:p w:rsidR="002C1A9D" w:rsidRDefault="002C1A9D">
      <w:pPr>
        <w:jc w:val="both"/>
      </w:pPr>
    </w:p>
    <w:p w:rsidR="002C1A9D" w:rsidRDefault="00D02246" w:rsidP="00D02246">
      <w:pPr>
        <w:spacing w:line="360" w:lineRule="auto"/>
        <w:jc w:val="both"/>
      </w:pPr>
      <w:r>
        <w:rPr>
          <w:rFonts w:ascii="Times New Roman" w:cs="Times New Roman"/>
        </w:rPr>
        <w:tab/>
      </w:r>
      <w:r>
        <w:rPr>
          <w:rFonts w:ascii="Times New Roman" w:cs="Times New Roman"/>
        </w:rPr>
        <w:t xml:space="preserve">In his </w:t>
      </w:r>
      <w:r>
        <w:rPr>
          <w:rFonts w:ascii="Times New Roman" w:cs="Times New Roman"/>
          <w:i/>
        </w:rPr>
        <w:t>On Generation of Animals</w:t>
      </w:r>
      <w:r>
        <w:rPr>
          <w:rFonts w:ascii="Times New Roman" w:cs="Times New Roman"/>
        </w:rPr>
        <w:t xml:space="preserve">, Aristotle debates the relationship between old age and disease, ultimately </w:t>
      </w:r>
      <w:r>
        <w:rPr>
          <w:rFonts w:ascii="Times New Roman" w:cs="Times New Roman"/>
        </w:rPr>
        <w:t xml:space="preserve">determining that they are analogous. He concludes that </w:t>
      </w:r>
      <w:r>
        <w:rPr>
          <w:rFonts w:ascii="Times New Roman" w:cs="Times New Roman"/>
        </w:rPr>
        <w:t>“</w:t>
      </w:r>
      <w:r>
        <w:rPr>
          <w:rFonts w:ascii="Times New Roman" w:cs="Times New Roman"/>
        </w:rPr>
        <w:t>disease is acquired old age, whereas old age is natural disease,</w:t>
      </w:r>
      <w:r>
        <w:rPr>
          <w:rFonts w:ascii="Times New Roman" w:cs="Times New Roman"/>
        </w:rPr>
        <w:t>”</w:t>
      </w:r>
      <w:r>
        <w:rPr>
          <w:rFonts w:ascii="Times New Roman" w:cs="Times New Roman"/>
        </w:rPr>
        <w:t xml:space="preserve"> </w:t>
      </w:r>
      <w:r>
        <w:rPr>
          <w:rFonts w:ascii="Helvetica" w:cs="Helvetica"/>
        </w:rPr>
        <w:t>τ</w:t>
      </w:r>
      <w:r>
        <w:rPr>
          <w:rFonts w:ascii="Times" w:cs="Times"/>
        </w:rPr>
        <w:t>ὴ</w:t>
      </w:r>
      <w:r>
        <w:rPr>
          <w:rFonts w:ascii="Helvetica" w:cs="Helvetica"/>
        </w:rPr>
        <w:t>ν</w:t>
      </w:r>
      <w:r>
        <w:rPr>
          <w:rFonts w:ascii="New Athena Unicode" w:cs="New Athena Unicode"/>
        </w:rPr>
        <w:t xml:space="preserve"> </w:t>
      </w:r>
      <w:r>
        <w:rPr>
          <w:rFonts w:ascii="Helvetica" w:cs="Helvetica"/>
        </w:rPr>
        <w:t>μ</w:t>
      </w:r>
      <w:r>
        <w:rPr>
          <w:rFonts w:ascii="Times" w:cs="Times"/>
        </w:rPr>
        <w:t>ὲ</w:t>
      </w:r>
      <w:r>
        <w:rPr>
          <w:rFonts w:ascii="Helvetica" w:cs="Helvetica"/>
        </w:rPr>
        <w:t>ν</w:t>
      </w:r>
      <w:r>
        <w:rPr>
          <w:rFonts w:ascii="Times New Roman" w:cs="Times New Roman"/>
        </w:rPr>
        <w:t xml:space="preserve"> </w:t>
      </w:r>
      <w:r>
        <w:rPr>
          <w:rFonts w:ascii="Helvetica" w:cs="Helvetica"/>
        </w:rPr>
        <w:t>νόσον</w:t>
      </w:r>
      <w:r>
        <w:rPr>
          <w:rFonts w:ascii="Helvetica" w:cs="Helvetica"/>
        </w:rPr>
        <w:t xml:space="preserve"> </w:t>
      </w:r>
      <w:r>
        <w:rPr>
          <w:rFonts w:ascii="Helvetica" w:cs="Helvetica"/>
        </w:rPr>
        <w:t>γ</w:t>
      </w:r>
      <w:r>
        <w:rPr>
          <w:rFonts w:ascii="Times" w:cs="Times"/>
        </w:rPr>
        <w:t>ῆ</w:t>
      </w:r>
      <w:r>
        <w:rPr>
          <w:rFonts w:ascii="Helvetica" w:cs="Helvetica"/>
        </w:rPr>
        <w:t>ρας</w:t>
      </w:r>
      <w:r>
        <w:rPr>
          <w:rFonts w:ascii="Helvetica" w:cs="Helvetica"/>
        </w:rPr>
        <w:t xml:space="preserve"> </w:t>
      </w:r>
      <w:r>
        <w:rPr>
          <w:rFonts w:ascii="Times" w:cs="Times"/>
        </w:rPr>
        <w:t>ἐ</w:t>
      </w:r>
      <w:r>
        <w:rPr>
          <w:rFonts w:ascii="Helvetica" w:cs="Helvetica"/>
        </w:rPr>
        <w:t>πίκτητον</w:t>
      </w:r>
      <w:r>
        <w:rPr>
          <w:rFonts w:ascii="Helvetica" w:cs="Helvetica"/>
        </w:rPr>
        <w:t xml:space="preserve">, </w:t>
      </w:r>
      <w:r>
        <w:rPr>
          <w:rFonts w:ascii="Helvetica" w:cs="Helvetica"/>
        </w:rPr>
        <w:t>τ</w:t>
      </w:r>
      <w:r>
        <w:rPr>
          <w:rFonts w:ascii="Times" w:cs="Times"/>
        </w:rPr>
        <w:t>ὸ</w:t>
      </w:r>
      <w:r>
        <w:rPr>
          <w:rFonts w:ascii="Helvetica" w:cs="Helvetica"/>
        </w:rPr>
        <w:t xml:space="preserve"> </w:t>
      </w:r>
      <w:r>
        <w:rPr>
          <w:rFonts w:ascii="Helvetica" w:cs="Helvetica"/>
        </w:rPr>
        <w:t>δ</w:t>
      </w:r>
      <w:r>
        <w:rPr>
          <w:rFonts w:ascii="Times" w:cs="Times"/>
        </w:rPr>
        <w:t>ὲ</w:t>
      </w:r>
      <w:r>
        <w:rPr>
          <w:rFonts w:ascii="Helvetica" w:cs="Helvetica"/>
        </w:rPr>
        <w:t xml:space="preserve"> </w:t>
      </w:r>
      <w:r>
        <w:rPr>
          <w:rFonts w:ascii="Helvetica" w:cs="Helvetica"/>
        </w:rPr>
        <w:t>γ</w:t>
      </w:r>
      <w:r>
        <w:rPr>
          <w:rFonts w:ascii="Times" w:cs="Times"/>
        </w:rPr>
        <w:t>ῆ</w:t>
      </w:r>
      <w:r>
        <w:rPr>
          <w:rFonts w:ascii="Helvetica" w:cs="Helvetica"/>
        </w:rPr>
        <w:t>ρας</w:t>
      </w:r>
      <w:r>
        <w:rPr>
          <w:rFonts w:ascii="Helvetica" w:cs="Helvetica"/>
        </w:rPr>
        <w:t xml:space="preserve"> </w:t>
      </w:r>
      <w:r>
        <w:rPr>
          <w:rFonts w:ascii="Helvetica" w:cs="Helvetica"/>
        </w:rPr>
        <w:t>νόσον</w:t>
      </w:r>
      <w:r>
        <w:rPr>
          <w:rFonts w:ascii="Helvetica" w:cs="Helvetica"/>
        </w:rPr>
        <w:t xml:space="preserve"> </w:t>
      </w:r>
      <w:r>
        <w:rPr>
          <w:rFonts w:ascii="Helvetica" w:cs="Helvetica"/>
        </w:rPr>
        <w:t>φυσικήν</w:t>
      </w:r>
      <w:r>
        <w:rPr>
          <w:rFonts w:ascii="Times New Roman" w:cs="Times New Roman"/>
        </w:rPr>
        <w:t xml:space="preserve"> (Arist. </w:t>
      </w:r>
      <w:r>
        <w:rPr>
          <w:rFonts w:ascii="Times New Roman" w:cs="Times New Roman"/>
          <w:i/>
        </w:rPr>
        <w:t>GA</w:t>
      </w:r>
      <w:r>
        <w:rPr>
          <w:rFonts w:ascii="Times New Roman" w:cs="Times New Roman"/>
        </w:rPr>
        <w:t xml:space="preserve"> 784b33-35). This negative association is often interpreted as a being unique to the male experience, while women</w:t>
      </w:r>
      <w:r>
        <w:rPr>
          <w:rFonts w:ascii="Times New Roman" w:cs="Times New Roman"/>
        </w:rPr>
        <w:t>’</w:t>
      </w:r>
      <w:r>
        <w:rPr>
          <w:rFonts w:ascii="Times New Roman" w:cs="Times New Roman"/>
        </w:rPr>
        <w:t>s lives are believed to improve with age (Bremmer 1987). The authors of the Hippocratic gynecological treatises do not treat menopause as a pa</w:t>
      </w:r>
      <w:r>
        <w:rPr>
          <w:rFonts w:ascii="Times New Roman" w:cs="Times New Roman"/>
        </w:rPr>
        <w:t>thological condition; instead, the cessation of menses due to old age is considered a natural process.</w:t>
      </w:r>
      <w:r>
        <w:rPr>
          <w:rFonts w:ascii="Times New Roman" w:cs="Times New Roman"/>
        </w:rPr>
        <w:tab/>
      </w:r>
      <w:r>
        <w:rPr>
          <w:rFonts w:ascii="Times New Roman" w:cs="Times New Roman"/>
        </w:rPr>
        <w:t xml:space="preserve">  Yet, neither discussions of aging in Aristotle nor the Hippocratic corpus adequately address how old age was understood by the women who were experienci</w:t>
      </w:r>
      <w:r>
        <w:rPr>
          <w:rFonts w:ascii="Times New Roman" w:cs="Times New Roman"/>
        </w:rPr>
        <w:t xml:space="preserve">ng it. </w:t>
      </w:r>
    </w:p>
    <w:p w:rsidR="002C1A9D" w:rsidRDefault="00D02246" w:rsidP="00D02246">
      <w:pPr>
        <w:spacing w:line="360" w:lineRule="auto"/>
        <w:jc w:val="both"/>
      </w:pPr>
      <w:r>
        <w:rPr>
          <w:rFonts w:ascii="Times New Roman" w:cs="Times New Roman"/>
        </w:rPr>
        <w:tab/>
      </w:r>
      <w:r>
        <w:rPr>
          <w:rFonts w:ascii="Times New Roman" w:cs="Times New Roman"/>
        </w:rPr>
        <w:t>However, the recently discovered fragments of Sappho provide valuable insight into female old age, especially women</w:t>
      </w:r>
      <w:r>
        <w:rPr>
          <w:rFonts w:ascii="Times New Roman" w:cs="Times New Roman"/>
        </w:rPr>
        <w:t>’</w:t>
      </w:r>
      <w:r>
        <w:rPr>
          <w:rFonts w:ascii="Times New Roman" w:cs="Times New Roman"/>
        </w:rPr>
        <w:t xml:space="preserve">s own perceptions. Since it was first announced to the world by M. L. West in 2005, the </w:t>
      </w:r>
      <w:r>
        <w:rPr>
          <w:rFonts w:ascii="Times New Roman" w:cs="Times New Roman"/>
        </w:rPr>
        <w:t>“</w:t>
      </w:r>
      <w:r>
        <w:rPr>
          <w:rFonts w:ascii="Times New Roman" w:cs="Times New Roman"/>
        </w:rPr>
        <w:t>New Sappho</w:t>
      </w:r>
      <w:r>
        <w:rPr>
          <w:rFonts w:ascii="Times New Roman" w:cs="Times New Roman"/>
        </w:rPr>
        <w:t>”</w:t>
      </w:r>
      <w:r>
        <w:rPr>
          <w:rFonts w:ascii="Times New Roman" w:cs="Times New Roman"/>
        </w:rPr>
        <w:t xml:space="preserve"> fragments have been widely stud</w:t>
      </w:r>
      <w:r>
        <w:rPr>
          <w:rFonts w:ascii="Times New Roman" w:cs="Times New Roman"/>
        </w:rPr>
        <w:t xml:space="preserve">ied by scholars of Sappho and early Greek poetry (Greene and Skinner 2009). There have been few treatments of the fragments in relation to larger issues of female health and old age. In this paper, I will discuss how these Sappho fragments provide further </w:t>
      </w:r>
      <w:r>
        <w:rPr>
          <w:rFonts w:ascii="Times New Roman" w:cs="Times New Roman"/>
        </w:rPr>
        <w:t xml:space="preserve">evidence for the ancient ambivalence towards old age. In particular, they provide valuable evidence for the non-gendered nature of this ambivalence, namely that both men and women had mixed feelings about the aging process.  </w:t>
      </w:r>
    </w:p>
    <w:p w:rsidR="002C1A9D" w:rsidRDefault="00D02246" w:rsidP="00D02246">
      <w:pPr>
        <w:spacing w:line="360" w:lineRule="auto"/>
        <w:jc w:val="both"/>
      </w:pPr>
      <w:r>
        <w:rPr>
          <w:rFonts w:ascii="Times New Roman" w:cs="Times New Roman"/>
        </w:rPr>
        <w:tab/>
      </w:r>
      <w:r>
        <w:rPr>
          <w:rFonts w:ascii="Times New Roman" w:cs="Times New Roman"/>
        </w:rPr>
        <w:t xml:space="preserve">By examining the fragments of </w:t>
      </w:r>
      <w:r>
        <w:rPr>
          <w:rFonts w:ascii="Times New Roman" w:cs="Times New Roman"/>
        </w:rPr>
        <w:t>Sappho in conjunction with descriptions of old women and their health in the Hippocratic corpus, I will argue that old age was understood to have both positive and negative effects on women</w:t>
      </w:r>
      <w:r>
        <w:rPr>
          <w:rFonts w:ascii="Times New Roman" w:cs="Times New Roman"/>
        </w:rPr>
        <w:t>’</w:t>
      </w:r>
      <w:r>
        <w:rPr>
          <w:rFonts w:ascii="Times New Roman" w:cs="Times New Roman"/>
        </w:rPr>
        <w:t>s health. Moreover, I will argue that these contradictory elements</w:t>
      </w:r>
      <w:r>
        <w:rPr>
          <w:rFonts w:ascii="Times New Roman" w:cs="Times New Roman"/>
        </w:rPr>
        <w:t xml:space="preserve"> present a more complex vision of female old age than is generally seen in the stereotypes of old women in Greek literature (Henderson 1987; Pratt 2000). By recognizing the multifaceted nature of female old age, it is possible to have a more complete under</w:t>
      </w:r>
      <w:r>
        <w:rPr>
          <w:rFonts w:ascii="Times New Roman" w:cs="Times New Roman"/>
        </w:rPr>
        <w:t>standing of women</w:t>
      </w:r>
      <w:r>
        <w:rPr>
          <w:rFonts w:ascii="Times New Roman" w:cs="Times New Roman"/>
        </w:rPr>
        <w:t>’</w:t>
      </w:r>
      <w:r>
        <w:rPr>
          <w:rFonts w:ascii="Times New Roman" w:cs="Times New Roman"/>
        </w:rPr>
        <w:t xml:space="preserve">s life-stages. </w:t>
      </w:r>
    </w:p>
    <w:p w:rsidR="002C1A9D" w:rsidRDefault="002C1A9D">
      <w:pPr>
        <w:jc w:val="both"/>
      </w:pPr>
    </w:p>
    <w:p w:rsidR="002C1A9D" w:rsidRDefault="002C1A9D">
      <w:pPr>
        <w:jc w:val="both"/>
      </w:pPr>
    </w:p>
    <w:p w:rsidR="002C1A9D" w:rsidRDefault="00D02246">
      <w:r>
        <w:rPr>
          <w:rFonts w:ascii="Times New Roman" w:cs="Times New Roman"/>
        </w:rPr>
        <w:br w:type="page"/>
      </w:r>
    </w:p>
    <w:p w:rsidR="002C1A9D" w:rsidRDefault="00D02246">
      <w:pPr>
        <w:jc w:val="center"/>
      </w:pPr>
      <w:r>
        <w:rPr>
          <w:rFonts w:ascii="Times New Roman" w:cs="Times New Roman"/>
        </w:rPr>
        <w:t>Works Cited</w:t>
      </w:r>
    </w:p>
    <w:p w:rsidR="002C1A9D" w:rsidRDefault="002C1A9D">
      <w:pPr>
        <w:jc w:val="both"/>
      </w:pPr>
    </w:p>
    <w:p w:rsidR="002C1A9D" w:rsidRDefault="00D02246">
      <w:pPr>
        <w:jc w:val="both"/>
      </w:pPr>
      <w:r>
        <w:rPr>
          <w:rFonts w:ascii="Times New Roman" w:cs="Times New Roman"/>
        </w:rPr>
        <w:t xml:space="preserve">Bremmer, Jan. 1987. </w:t>
      </w:r>
      <w:r>
        <w:rPr>
          <w:rFonts w:ascii="Times New Roman" w:cs="Times New Roman"/>
        </w:rPr>
        <w:t>“</w:t>
      </w:r>
      <w:r>
        <w:rPr>
          <w:rFonts w:ascii="Times New Roman" w:cs="Times New Roman"/>
        </w:rPr>
        <w:t>The Old Women of Ancient Greece.</w:t>
      </w:r>
      <w:r>
        <w:rPr>
          <w:rFonts w:ascii="Times New Roman" w:cs="Times New Roman"/>
        </w:rPr>
        <w:t>”</w:t>
      </w:r>
      <w:r>
        <w:rPr>
          <w:rFonts w:ascii="Times New Roman" w:cs="Times New Roman"/>
        </w:rPr>
        <w:t xml:space="preserve"> in </w:t>
      </w:r>
      <w:r>
        <w:rPr>
          <w:rFonts w:ascii="Times New Roman" w:cs="Times New Roman"/>
          <w:i/>
        </w:rPr>
        <w:t xml:space="preserve">Sexual Asymmetry: Studies in </w:t>
      </w:r>
    </w:p>
    <w:p w:rsidR="002C1A9D" w:rsidRDefault="00D02246">
      <w:pPr>
        <w:jc w:val="both"/>
      </w:pPr>
      <w:r>
        <w:rPr>
          <w:rFonts w:ascii="Times New Roman" w:cs="Times New Roman"/>
          <w:i/>
        </w:rPr>
        <w:t>Ancient Society</w:t>
      </w:r>
      <w:r>
        <w:rPr>
          <w:rFonts w:ascii="Times New Roman" w:cs="Times New Roman"/>
        </w:rPr>
        <w:t>. Eds. Josine Blok and Peter Mason. Amsterdam: J. C. Gieben. 191-215.</w:t>
      </w:r>
    </w:p>
    <w:p w:rsidR="002C1A9D" w:rsidRDefault="002C1A9D">
      <w:pPr>
        <w:jc w:val="both"/>
      </w:pPr>
    </w:p>
    <w:p w:rsidR="002C1A9D" w:rsidRDefault="00D02246">
      <w:pPr>
        <w:jc w:val="both"/>
      </w:pPr>
      <w:r>
        <w:rPr>
          <w:rFonts w:ascii="Times New Roman" w:cs="Times New Roman"/>
        </w:rPr>
        <w:t>Greene, Ellen and Marilyn B. Sk</w:t>
      </w:r>
      <w:r>
        <w:rPr>
          <w:rFonts w:ascii="Times New Roman" w:cs="Times New Roman"/>
        </w:rPr>
        <w:t xml:space="preserve">inner, eds. 2009. </w:t>
      </w:r>
      <w:r>
        <w:rPr>
          <w:rFonts w:ascii="Times New Roman" w:cs="Times New Roman"/>
          <w:i/>
        </w:rPr>
        <w:t xml:space="preserve">The New Sappho on Old Age: Textual and </w:t>
      </w:r>
    </w:p>
    <w:p w:rsidR="002C1A9D" w:rsidRDefault="00D02246">
      <w:pPr>
        <w:jc w:val="both"/>
      </w:pPr>
      <w:r>
        <w:rPr>
          <w:rFonts w:ascii="Times New Roman" w:cs="Times New Roman"/>
          <w:i/>
        </w:rPr>
        <w:t>Philosophical Issues</w:t>
      </w:r>
      <w:r>
        <w:rPr>
          <w:rFonts w:ascii="Times New Roman" w:cs="Times New Roman"/>
        </w:rPr>
        <w:t xml:space="preserve">. Washington, DC: Center for Hellenic Studies. </w:t>
      </w:r>
    </w:p>
    <w:p w:rsidR="002C1A9D" w:rsidRDefault="002C1A9D">
      <w:pPr>
        <w:jc w:val="both"/>
      </w:pPr>
    </w:p>
    <w:p w:rsidR="002C1A9D" w:rsidRDefault="00D02246">
      <w:pPr>
        <w:jc w:val="both"/>
      </w:pPr>
      <w:r>
        <w:rPr>
          <w:rFonts w:ascii="Times New Roman" w:cs="Times New Roman"/>
        </w:rPr>
        <w:t xml:space="preserve">Henderson, Jeffrey. 1987. </w:t>
      </w:r>
      <w:r>
        <w:rPr>
          <w:rFonts w:ascii="Times New Roman" w:cs="Times New Roman"/>
        </w:rPr>
        <w:t>“</w:t>
      </w:r>
      <w:r>
        <w:rPr>
          <w:rFonts w:ascii="Times New Roman" w:cs="Times New Roman"/>
        </w:rPr>
        <w:t>Older Women in Attic Old Comedy.</w:t>
      </w:r>
      <w:r>
        <w:rPr>
          <w:rFonts w:ascii="Times New Roman" w:cs="Times New Roman"/>
        </w:rPr>
        <w:t>”</w:t>
      </w:r>
      <w:r>
        <w:rPr>
          <w:rFonts w:ascii="Times New Roman" w:cs="Times New Roman"/>
        </w:rPr>
        <w:t xml:space="preserve"> </w:t>
      </w:r>
      <w:r>
        <w:rPr>
          <w:rFonts w:ascii="Times New Roman" w:cs="Times New Roman"/>
          <w:i/>
        </w:rPr>
        <w:t xml:space="preserve">Transactions of the American </w:t>
      </w:r>
    </w:p>
    <w:p w:rsidR="002C1A9D" w:rsidRDefault="00D02246">
      <w:pPr>
        <w:jc w:val="both"/>
      </w:pPr>
      <w:r>
        <w:rPr>
          <w:rFonts w:ascii="Times New Roman" w:cs="Times New Roman"/>
          <w:i/>
        </w:rPr>
        <w:t>Philological Association</w:t>
      </w:r>
      <w:r>
        <w:rPr>
          <w:rFonts w:ascii="Times New Roman" w:cs="Times New Roman"/>
        </w:rPr>
        <w:t xml:space="preserve"> 117. 105-129.</w:t>
      </w:r>
    </w:p>
    <w:p w:rsidR="002C1A9D" w:rsidRDefault="002C1A9D">
      <w:pPr>
        <w:jc w:val="both"/>
      </w:pPr>
    </w:p>
    <w:p w:rsidR="002C1A9D" w:rsidRDefault="00D02246">
      <w:pPr>
        <w:jc w:val="both"/>
      </w:pPr>
      <w:r>
        <w:rPr>
          <w:rFonts w:ascii="Times New Roman" w:cs="Times New Roman"/>
        </w:rPr>
        <w:t xml:space="preserve">Pratt, Louise. 2000. </w:t>
      </w:r>
      <w:r>
        <w:rPr>
          <w:rFonts w:ascii="Times New Roman" w:cs="Times New Roman"/>
        </w:rPr>
        <w:t>“</w:t>
      </w:r>
      <w:r>
        <w:rPr>
          <w:rFonts w:ascii="Times New Roman" w:cs="Times New Roman"/>
        </w:rPr>
        <w:t>The Old Women of Ancient Greece and the Homeric Hymn to Demeter.</w:t>
      </w:r>
      <w:r>
        <w:rPr>
          <w:rFonts w:ascii="Times New Roman" w:cs="Times New Roman"/>
        </w:rPr>
        <w:t>”</w:t>
      </w:r>
      <w:r>
        <w:rPr>
          <w:rFonts w:ascii="Times New Roman" w:cs="Times New Roman"/>
        </w:rPr>
        <w:t xml:space="preserve"> </w:t>
      </w:r>
    </w:p>
    <w:p w:rsidR="002C1A9D" w:rsidRDefault="00D02246">
      <w:pPr>
        <w:jc w:val="both"/>
      </w:pPr>
      <w:r>
        <w:rPr>
          <w:rFonts w:ascii="Times New Roman" w:cs="Times New Roman"/>
          <w:i/>
        </w:rPr>
        <w:t>Transactions of the American Philological Association</w:t>
      </w:r>
      <w:r>
        <w:rPr>
          <w:rFonts w:ascii="Times New Roman" w:cs="Times New Roman"/>
        </w:rPr>
        <w:t xml:space="preserve"> 130. 41-65.</w:t>
      </w:r>
    </w:p>
    <w:p w:rsidR="002C1A9D" w:rsidRDefault="002C1A9D">
      <w:pPr>
        <w:jc w:val="both"/>
      </w:pPr>
    </w:p>
    <w:p w:rsidR="002C1A9D" w:rsidRDefault="00D02246">
      <w:pPr>
        <w:jc w:val="both"/>
      </w:pPr>
      <w:r>
        <w:rPr>
          <w:rFonts w:ascii="Times New Roman" w:cs="Times New Roman"/>
        </w:rPr>
        <w:t xml:space="preserve">West, M. L. 2005. </w:t>
      </w:r>
      <w:r>
        <w:rPr>
          <w:rFonts w:ascii="Times New Roman" w:cs="Times New Roman"/>
        </w:rPr>
        <w:t>“</w:t>
      </w:r>
      <w:r>
        <w:rPr>
          <w:rFonts w:ascii="Times New Roman" w:cs="Times New Roman"/>
        </w:rPr>
        <w:t>The New Sappho.</w:t>
      </w:r>
      <w:r>
        <w:rPr>
          <w:rFonts w:ascii="Times New Roman" w:cs="Times New Roman"/>
        </w:rPr>
        <w:t>”</w:t>
      </w:r>
      <w:r>
        <w:rPr>
          <w:rFonts w:ascii="Times New Roman" w:cs="Times New Roman"/>
        </w:rPr>
        <w:t xml:space="preserve"> </w:t>
      </w:r>
      <w:r>
        <w:rPr>
          <w:rFonts w:ascii="Times New Roman" w:cs="Times New Roman"/>
          <w:i/>
        </w:rPr>
        <w:t>Zeitschrift f</w:t>
      </w:r>
      <w:r>
        <w:rPr>
          <w:rFonts w:ascii="Times New Roman" w:cs="Times New Roman"/>
          <w:i/>
        </w:rPr>
        <w:t>ü</w:t>
      </w:r>
      <w:r>
        <w:rPr>
          <w:rFonts w:ascii="Times New Roman" w:cs="Times New Roman"/>
          <w:i/>
        </w:rPr>
        <w:t>r Papyrologie und Epigraphik</w:t>
      </w:r>
      <w:r>
        <w:rPr>
          <w:rFonts w:ascii="Times New Roman" w:cs="Times New Roman"/>
        </w:rPr>
        <w:t xml:space="preserve"> 151: 1-9.</w:t>
      </w:r>
    </w:p>
    <w:sectPr w:rsidR="002C1A9D" w:rsidSect="002C1A9D">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Athena Unicode">
    <w:panose1 w:val="0200050300000002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2C1A9D"/>
    <w:rsid w:val="002C1A9D"/>
    <w:rsid w:val="00D0224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3AA9B631-6AD8-1549-A661-F5EB7CE0A7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2386</Characters>
  <Application>Microsoft Macintosh Word</Application>
  <DocSecurity>0</DocSecurity>
  <Lines>41</Lines>
  <Paragraphs>7</Paragraphs>
  <ScaleCrop>false</ScaleCrop>
  <Company>St. Olaf College</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Information and Instructional Technologies</cp:lastModifiedBy>
  <cp:revision>2</cp:revision>
  <dcterms:created xsi:type="dcterms:W3CDTF">2011-09-25T22:37:00Z</dcterms:created>
  <dcterms:modified xsi:type="dcterms:W3CDTF">2011-09-25T22:39:00Z</dcterms:modified>
</cp:coreProperties>
</file>