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F3" w:rsidRPr="002E00DF" w:rsidRDefault="00DF7081" w:rsidP="002E00DF">
      <w:pPr>
        <w:jc w:val="center"/>
      </w:pPr>
      <w:r w:rsidRPr="002E00DF">
        <w:t xml:space="preserve">Fowl Play </w:t>
      </w:r>
      <w:r w:rsidR="00D649A2" w:rsidRPr="002E00DF">
        <w:t>at Actium</w:t>
      </w:r>
    </w:p>
    <w:p w:rsidR="00DF7081" w:rsidRDefault="00DF7081" w:rsidP="006C238C"/>
    <w:p w:rsidR="005E6DD8" w:rsidRDefault="005E6DD8" w:rsidP="006C238C">
      <w:pPr>
        <w:ind w:firstLine="360"/>
        <w:jc w:val="both"/>
      </w:pPr>
      <w:r w:rsidRPr="00E72CE9">
        <w:t xml:space="preserve">This paper </w:t>
      </w:r>
      <w:r w:rsidR="007E7DD2">
        <w:t xml:space="preserve">argues that the ecphrasis of </w:t>
      </w:r>
      <w:r w:rsidR="007E7DD2" w:rsidRPr="007E7DD2">
        <w:rPr>
          <w:i/>
        </w:rPr>
        <w:t>Aeneid</w:t>
      </w:r>
      <w:r w:rsidR="007E7DD2">
        <w:t xml:space="preserve"> 8 exploits a </w:t>
      </w:r>
      <w:r w:rsidRPr="00E72CE9">
        <w:t xml:space="preserve">threefold allusion to </w:t>
      </w:r>
      <w:r>
        <w:t xml:space="preserve">the </w:t>
      </w:r>
      <w:proofErr w:type="spellStart"/>
      <w:r w:rsidRPr="00E72CE9">
        <w:t>Kyknos</w:t>
      </w:r>
      <w:proofErr w:type="spellEnd"/>
      <w:r w:rsidRPr="00E72CE9">
        <w:t xml:space="preserve"> </w:t>
      </w:r>
      <w:proofErr w:type="spellStart"/>
      <w:r w:rsidRPr="00E72CE9">
        <w:t>monomachy</w:t>
      </w:r>
      <w:proofErr w:type="spellEnd"/>
      <w:r w:rsidRPr="00E72CE9">
        <w:rPr>
          <w:i/>
          <w:iCs/>
        </w:rPr>
        <w:t xml:space="preserve"> </w:t>
      </w:r>
      <w:r w:rsidRPr="00E72CE9">
        <w:t>myth</w:t>
      </w:r>
      <w:r>
        <w:t xml:space="preserve">s of </w:t>
      </w:r>
      <w:r w:rsidRPr="00E72CE9">
        <w:t xml:space="preserve">Ps.-Hesiod, </w:t>
      </w:r>
      <w:proofErr w:type="spellStart"/>
      <w:r w:rsidRPr="00E72CE9">
        <w:t>Stesichorus</w:t>
      </w:r>
      <w:proofErr w:type="spellEnd"/>
      <w:r w:rsidRPr="00E72CE9">
        <w:t xml:space="preserve">, and the </w:t>
      </w:r>
      <w:proofErr w:type="spellStart"/>
      <w:r w:rsidRPr="00E72CE9">
        <w:rPr>
          <w:i/>
          <w:iCs/>
        </w:rPr>
        <w:t>Cypria</w:t>
      </w:r>
      <w:proofErr w:type="spellEnd"/>
      <w:r w:rsidRPr="00E72CE9">
        <w:rPr>
          <w:i/>
          <w:iCs/>
        </w:rPr>
        <w:t xml:space="preserve">. </w:t>
      </w:r>
      <w:r w:rsidRPr="00E72CE9">
        <w:t xml:space="preserve">The resulting synthesis is ideally suited to the </w:t>
      </w:r>
      <w:bookmarkStart w:id="0" w:name="_GoBack"/>
      <w:bookmarkEnd w:id="0"/>
      <w:r w:rsidRPr="00E72CE9">
        <w:t xml:space="preserve">narrative and political </w:t>
      </w:r>
      <w:r>
        <w:t>needs</w:t>
      </w:r>
      <w:r w:rsidRPr="00E72CE9">
        <w:t xml:space="preserve"> of the latter half of the </w:t>
      </w:r>
      <w:r w:rsidRPr="00E72CE9">
        <w:rPr>
          <w:i/>
          <w:iCs/>
        </w:rPr>
        <w:t>Aeneid</w:t>
      </w:r>
      <w:r w:rsidRPr="00E72CE9">
        <w:t>.</w:t>
      </w:r>
    </w:p>
    <w:p w:rsidR="00134EAA" w:rsidRDefault="00DF7081" w:rsidP="006C238C">
      <w:pPr>
        <w:ind w:firstLine="360"/>
      </w:pPr>
      <w:r w:rsidRPr="00DF7081">
        <w:t xml:space="preserve">Virgil’s evocation of </w:t>
      </w:r>
      <w:proofErr w:type="spellStart"/>
      <w:r w:rsidRPr="00DF7081">
        <w:rPr>
          <w:i/>
        </w:rPr>
        <w:t>kyknomachia</w:t>
      </w:r>
      <w:proofErr w:type="spellEnd"/>
      <w:r w:rsidRPr="00DF7081">
        <w:t xml:space="preserve"> myth is patent</w:t>
      </w:r>
      <w:r w:rsidR="008714A3">
        <w:t xml:space="preserve">, with allusion at two axial moments. </w:t>
      </w:r>
      <w:r w:rsidR="006D65C5">
        <w:t>The</w:t>
      </w:r>
      <w:r w:rsidRPr="00DF7081">
        <w:t xml:space="preserve"> descriptor by which Virgil introduces the </w:t>
      </w:r>
      <w:proofErr w:type="spellStart"/>
      <w:r w:rsidRPr="00DF7081">
        <w:rPr>
          <w:i/>
        </w:rPr>
        <w:t>textum</w:t>
      </w:r>
      <w:proofErr w:type="spellEnd"/>
      <w:r w:rsidRPr="00DF7081">
        <w:rPr>
          <w:i/>
        </w:rPr>
        <w:t xml:space="preserve"> </w:t>
      </w:r>
      <w:r w:rsidRPr="00DF7081">
        <w:t xml:space="preserve">of </w:t>
      </w:r>
      <w:r>
        <w:t xml:space="preserve">Aeneas’ </w:t>
      </w:r>
      <w:r w:rsidRPr="00DF7081">
        <w:t xml:space="preserve">shield, </w:t>
      </w:r>
      <w:r w:rsidRPr="00DF7081">
        <w:rPr>
          <w:i/>
        </w:rPr>
        <w:t xml:space="preserve">non </w:t>
      </w:r>
      <w:proofErr w:type="spellStart"/>
      <w:r w:rsidRPr="00DF7081">
        <w:rPr>
          <w:i/>
        </w:rPr>
        <w:t>enarrabile</w:t>
      </w:r>
      <w:proofErr w:type="spellEnd"/>
      <w:r w:rsidRPr="00DF7081">
        <w:rPr>
          <w:i/>
        </w:rPr>
        <w:t xml:space="preserve">, </w:t>
      </w:r>
      <w:r w:rsidRPr="00DF7081">
        <w:t xml:space="preserve">is a calque on </w:t>
      </w:r>
      <w:r w:rsidR="00757ECA">
        <w:t xml:space="preserve">a </w:t>
      </w:r>
      <w:r w:rsidR="006D65C5">
        <w:t>characteristic</w:t>
      </w:r>
      <w:r w:rsidRPr="00DF7081">
        <w:t xml:space="preserve"> </w:t>
      </w:r>
      <w:r w:rsidR="00757ECA">
        <w:t xml:space="preserve">collocation </w:t>
      </w:r>
      <w:r w:rsidRPr="00DF7081">
        <w:t xml:space="preserve">of </w:t>
      </w:r>
      <w:r w:rsidR="006D65C5">
        <w:t>the</w:t>
      </w:r>
      <w:r w:rsidR="00757ECA">
        <w:t xml:space="preserve"> Ps.-Hesiodic </w:t>
      </w:r>
      <w:proofErr w:type="spellStart"/>
      <w:r w:rsidRPr="00757ECA">
        <w:rPr>
          <w:i/>
        </w:rPr>
        <w:t>Scutum</w:t>
      </w:r>
      <w:proofErr w:type="spellEnd"/>
      <w:r w:rsidRPr="00DF7081">
        <w:t xml:space="preserve">, </w:t>
      </w:r>
      <w:proofErr w:type="spellStart"/>
      <w:r w:rsidR="00A218F6">
        <w:rPr>
          <w:i/>
        </w:rPr>
        <w:t>ou</w:t>
      </w:r>
      <w:proofErr w:type="spellEnd"/>
      <w:r w:rsidR="00A218F6">
        <w:rPr>
          <w:i/>
        </w:rPr>
        <w:t xml:space="preserve"> </w:t>
      </w:r>
      <w:proofErr w:type="spellStart"/>
      <w:r w:rsidR="00A218F6">
        <w:rPr>
          <w:i/>
        </w:rPr>
        <w:t>ti</w:t>
      </w:r>
      <w:proofErr w:type="spellEnd"/>
      <w:r w:rsidR="00A218F6">
        <w:rPr>
          <w:i/>
        </w:rPr>
        <w:t xml:space="preserve"> </w:t>
      </w:r>
      <w:proofErr w:type="spellStart"/>
      <w:r w:rsidR="00A218F6">
        <w:rPr>
          <w:i/>
        </w:rPr>
        <w:t>phateios</w:t>
      </w:r>
      <w:proofErr w:type="spellEnd"/>
      <w:r w:rsidR="0064327A">
        <w:rPr>
          <w:i/>
        </w:rPr>
        <w:t xml:space="preserve"> </w:t>
      </w:r>
      <w:r w:rsidR="0064327A">
        <w:t>(</w:t>
      </w:r>
      <w:proofErr w:type="spellStart"/>
      <w:r w:rsidR="0064327A">
        <w:t>Eichholz</w:t>
      </w:r>
      <w:proofErr w:type="spellEnd"/>
      <w:r w:rsidR="0064327A">
        <w:t xml:space="preserve"> </w:t>
      </w:r>
      <w:r w:rsidR="006D65C5">
        <w:t>1966, 47</w:t>
      </w:r>
      <w:r w:rsidR="0064327A">
        <w:t>)</w:t>
      </w:r>
      <w:r w:rsidRPr="00DF7081">
        <w:t>.</w:t>
      </w:r>
      <w:r>
        <w:t xml:space="preserve"> </w:t>
      </w:r>
      <w:r w:rsidRPr="00A87662">
        <w:t>Similarly</w:t>
      </w:r>
      <w:r>
        <w:t xml:space="preserve">, the </w:t>
      </w:r>
      <w:r w:rsidR="00757ECA">
        <w:t xml:space="preserve">opening of the </w:t>
      </w:r>
      <w:proofErr w:type="spellStart"/>
      <w:r w:rsidR="00757ECA">
        <w:t>ecphrastic</w:t>
      </w:r>
      <w:proofErr w:type="spellEnd"/>
      <w:r w:rsidR="00757ECA">
        <w:t xml:space="preserve"> </w:t>
      </w:r>
      <w:r>
        <w:t xml:space="preserve">centerpiece, Actium, </w:t>
      </w:r>
      <w:r w:rsidR="00757ECA">
        <w:t xml:space="preserve">features </w:t>
      </w:r>
      <w:proofErr w:type="spellStart"/>
      <w:r w:rsidRPr="00757ECA">
        <w:rPr>
          <w:i/>
        </w:rPr>
        <w:t>argento</w:t>
      </w:r>
      <w:proofErr w:type="spellEnd"/>
      <w:r w:rsidRPr="00757ECA">
        <w:rPr>
          <w:i/>
        </w:rPr>
        <w:t xml:space="preserve"> </w:t>
      </w:r>
      <w:proofErr w:type="spellStart"/>
      <w:r w:rsidRPr="00757ECA">
        <w:rPr>
          <w:i/>
        </w:rPr>
        <w:t>clari</w:t>
      </w:r>
      <w:proofErr w:type="spellEnd"/>
      <w:r w:rsidRPr="00757ECA">
        <w:rPr>
          <w:i/>
        </w:rPr>
        <w:t xml:space="preserve"> </w:t>
      </w:r>
      <w:proofErr w:type="spellStart"/>
      <w:r w:rsidRPr="00757ECA">
        <w:rPr>
          <w:i/>
        </w:rPr>
        <w:t>del</w:t>
      </w:r>
      <w:r w:rsidR="00757ECA" w:rsidRPr="00757ECA">
        <w:rPr>
          <w:i/>
        </w:rPr>
        <w:t>phines</w:t>
      </w:r>
      <w:proofErr w:type="spellEnd"/>
      <w:r w:rsidR="00CF392B">
        <w:rPr>
          <w:i/>
        </w:rPr>
        <w:t xml:space="preserve"> </w:t>
      </w:r>
      <w:r w:rsidR="00CF392B">
        <w:t>(8.673)</w:t>
      </w:r>
      <w:r w:rsidR="00757ECA">
        <w:t xml:space="preserve">, long recognized as </w:t>
      </w:r>
      <w:r w:rsidR="00CF392B">
        <w:t xml:space="preserve">a </w:t>
      </w:r>
      <w:r w:rsidR="00A87662">
        <w:t xml:space="preserve">recollection of </w:t>
      </w:r>
      <w:r w:rsidR="00CF392B" w:rsidRPr="00CF392B">
        <w:rPr>
          <w:i/>
        </w:rPr>
        <w:t>Sc</w:t>
      </w:r>
      <w:r w:rsidR="00CF392B">
        <w:t>. 212</w:t>
      </w:r>
      <w:r w:rsidR="00757ECA">
        <w:t>.</w:t>
      </w:r>
      <w:r w:rsidR="00B445F9">
        <w:t xml:space="preserve"> </w:t>
      </w:r>
      <w:r w:rsidR="008714A3">
        <w:t>Such a</w:t>
      </w:r>
      <w:r w:rsidR="00B445F9">
        <w:t xml:space="preserve">llusion </w:t>
      </w:r>
      <w:r w:rsidR="00646655">
        <w:t xml:space="preserve">is </w:t>
      </w:r>
      <w:r w:rsidR="007E7DD2">
        <w:t>natural</w:t>
      </w:r>
      <w:r w:rsidR="00B445F9">
        <w:t>; Aeneas’ role as Heracles’</w:t>
      </w:r>
      <w:r w:rsidR="00646655">
        <w:t xml:space="preserve"> successor is </w:t>
      </w:r>
      <w:r w:rsidR="00B445F9">
        <w:t xml:space="preserve">a key theme in </w:t>
      </w:r>
      <w:r w:rsidR="008714A3" w:rsidRPr="000A7083">
        <w:rPr>
          <w:i/>
        </w:rPr>
        <w:t>Aeneid</w:t>
      </w:r>
      <w:r w:rsidR="008714A3">
        <w:t xml:space="preserve"> 8</w:t>
      </w:r>
      <w:r w:rsidR="00B445F9">
        <w:t xml:space="preserve">. </w:t>
      </w:r>
      <w:r w:rsidR="007E7DD2">
        <w:t>However</w:t>
      </w:r>
      <w:r w:rsidR="00B445F9">
        <w:t xml:space="preserve">, </w:t>
      </w:r>
      <w:r w:rsidR="00134EAA">
        <w:t xml:space="preserve">comparison of heroes </w:t>
      </w:r>
      <w:r w:rsidR="00980B92">
        <w:t xml:space="preserve">and their respective shields </w:t>
      </w:r>
      <w:r w:rsidR="007E7DD2">
        <w:t xml:space="preserve">also </w:t>
      </w:r>
      <w:r w:rsidR="00134EAA">
        <w:t xml:space="preserve">invites comparison of their adversaries. On this count, Virgil’s </w:t>
      </w:r>
      <w:proofErr w:type="spellStart"/>
      <w:r w:rsidR="00134EAA">
        <w:rPr>
          <w:i/>
        </w:rPr>
        <w:t>textum</w:t>
      </w:r>
      <w:proofErr w:type="spellEnd"/>
      <w:r w:rsidR="00134EAA">
        <w:t xml:space="preserve"> </w:t>
      </w:r>
      <w:r w:rsidR="00A218F6">
        <w:t>offers</w:t>
      </w:r>
      <w:r w:rsidR="00134EAA">
        <w:t xml:space="preserve"> rich </w:t>
      </w:r>
      <w:r w:rsidR="00A218F6">
        <w:t>possibilities</w:t>
      </w:r>
      <w:r w:rsidR="00980B92">
        <w:t>.</w:t>
      </w:r>
    </w:p>
    <w:p w:rsidR="0085717A" w:rsidRDefault="00A218F6" w:rsidP="006C238C">
      <w:pPr>
        <w:ind w:firstLine="360"/>
      </w:pPr>
      <w:r>
        <w:t xml:space="preserve">Heracles’ </w:t>
      </w:r>
      <w:r w:rsidR="009E2D7D">
        <w:t>oppo</w:t>
      </w:r>
      <w:r w:rsidR="00EC4E9B">
        <w:t>n</w:t>
      </w:r>
      <w:r w:rsidR="009E2D7D">
        <w:t>en</w:t>
      </w:r>
      <w:r w:rsidR="00EC4E9B">
        <w:t>t</w:t>
      </w:r>
      <w:r>
        <w:t xml:space="preserve"> in the </w:t>
      </w:r>
      <w:r>
        <w:rPr>
          <w:i/>
        </w:rPr>
        <w:t xml:space="preserve">Scutum </w:t>
      </w:r>
      <w:r>
        <w:t>is Kyknos, a brigand who</w:t>
      </w:r>
      <w:r w:rsidR="003F57D6">
        <w:t xml:space="preserve">m the hero destroys at </w:t>
      </w:r>
      <w:r w:rsidR="003E369D">
        <w:t>Apollo’s</w:t>
      </w:r>
      <w:r w:rsidR="003F57D6">
        <w:t xml:space="preserve"> behest </w:t>
      </w:r>
      <w:r w:rsidR="003E369D">
        <w:t xml:space="preserve">for usurping </w:t>
      </w:r>
      <w:r w:rsidR="006C238C">
        <w:t>the god’s</w:t>
      </w:r>
      <w:r w:rsidR="003E369D">
        <w:t xml:space="preserve"> </w:t>
      </w:r>
      <w:proofErr w:type="spellStart"/>
      <w:r w:rsidRPr="00A218F6">
        <w:rPr>
          <w:i/>
        </w:rPr>
        <w:t>temenos</w:t>
      </w:r>
      <w:proofErr w:type="spellEnd"/>
      <w:r>
        <w:t xml:space="preserve"> and </w:t>
      </w:r>
      <w:r w:rsidR="003F57D6">
        <w:t xml:space="preserve">stealing </w:t>
      </w:r>
      <w:r>
        <w:t>hecatombs from pilgrims (</w:t>
      </w:r>
      <w:r w:rsidR="003F57D6">
        <w:t xml:space="preserve">cf. </w:t>
      </w:r>
      <w:r w:rsidR="003F57D6" w:rsidRPr="00E75DA9">
        <w:rPr>
          <w:i/>
        </w:rPr>
        <w:t>Sc</w:t>
      </w:r>
      <w:r w:rsidR="003F57D6">
        <w:t>. 57-8, 68-9, 478-80</w:t>
      </w:r>
      <w:r w:rsidR="00444105">
        <w:t>).</w:t>
      </w:r>
      <w:r w:rsidR="00A12978">
        <w:t xml:space="preserve"> However, complex allusion is </w:t>
      </w:r>
      <w:r w:rsidR="00C80400">
        <w:t>normative in Virgil</w:t>
      </w:r>
      <w:r w:rsidR="00490F1D">
        <w:t>.</w:t>
      </w:r>
      <w:r w:rsidR="0013710B">
        <w:t xml:space="preserve"> </w:t>
      </w:r>
      <w:proofErr w:type="spellStart"/>
      <w:r w:rsidR="00490F1D">
        <w:t>Stesichorus</w:t>
      </w:r>
      <w:proofErr w:type="spellEnd"/>
      <w:r w:rsidR="00490F1D">
        <w:t xml:space="preserve">’ </w:t>
      </w:r>
      <w:proofErr w:type="spellStart"/>
      <w:r w:rsidR="00490F1D">
        <w:rPr>
          <w:i/>
        </w:rPr>
        <w:t>Kyknos</w:t>
      </w:r>
      <w:proofErr w:type="spellEnd"/>
      <w:r w:rsidR="00490F1D">
        <w:t xml:space="preserve"> also treated this myth, adding the salacious detail that Kyknos beheaded his victims</w:t>
      </w:r>
      <w:r w:rsidR="00C80400">
        <w:t xml:space="preserve"> </w:t>
      </w:r>
      <w:r w:rsidR="00490F1D">
        <w:t xml:space="preserve">and built </w:t>
      </w:r>
      <w:r w:rsidR="0013710B">
        <w:t xml:space="preserve">Apollo </w:t>
      </w:r>
      <w:r w:rsidR="00490F1D">
        <w:t xml:space="preserve">an impious altar </w:t>
      </w:r>
      <w:r w:rsidR="0013710B">
        <w:t>of skulls</w:t>
      </w:r>
      <w:r w:rsidR="002D6434">
        <w:t xml:space="preserve"> (207 PMG)</w:t>
      </w:r>
      <w:r w:rsidR="00555ADE">
        <w:t xml:space="preserve">. </w:t>
      </w:r>
      <w:r w:rsidR="00C52473">
        <w:t xml:space="preserve">Virgil exploits </w:t>
      </w:r>
      <w:r w:rsidR="004E5878">
        <w:t xml:space="preserve">these motifs in his shaping of the </w:t>
      </w:r>
      <w:proofErr w:type="spellStart"/>
      <w:r w:rsidR="00C52473">
        <w:t>Cacus</w:t>
      </w:r>
      <w:proofErr w:type="spellEnd"/>
      <w:r w:rsidR="00C52473">
        <w:t xml:space="preserve"> episode </w:t>
      </w:r>
      <w:r w:rsidR="004E5878">
        <w:t>in</w:t>
      </w:r>
      <w:r w:rsidR="00C52473">
        <w:t xml:space="preserve"> </w:t>
      </w:r>
      <w:r w:rsidR="006C238C">
        <w:t>b</w:t>
      </w:r>
      <w:r w:rsidR="004E5878">
        <w:t xml:space="preserve">ook </w:t>
      </w:r>
      <w:r w:rsidR="00C52473">
        <w:t xml:space="preserve">8. </w:t>
      </w:r>
      <w:r w:rsidR="004E5878">
        <w:t xml:space="preserve">As with Kyknos, Hercules appears as a god-sent </w:t>
      </w:r>
      <w:proofErr w:type="spellStart"/>
      <w:r w:rsidR="004E5878">
        <w:rPr>
          <w:i/>
        </w:rPr>
        <w:t>soter</w:t>
      </w:r>
      <w:proofErr w:type="spellEnd"/>
      <w:r w:rsidR="004E5878">
        <w:rPr>
          <w:i/>
        </w:rPr>
        <w:t xml:space="preserve"> </w:t>
      </w:r>
      <w:r w:rsidR="004E5878">
        <w:t xml:space="preserve">(8.200-1) to defeat a head-hunting (9.196-7) and thieving (8.205 ff.) monster. In </w:t>
      </w:r>
      <w:proofErr w:type="spellStart"/>
      <w:r w:rsidR="004E5878">
        <w:t>Stesichorean</w:t>
      </w:r>
      <w:proofErr w:type="spellEnd"/>
      <w:r w:rsidR="004E5878">
        <w:t xml:space="preserve"> </w:t>
      </w:r>
      <w:r w:rsidR="0095103E">
        <w:t>fashion</w:t>
      </w:r>
      <w:r w:rsidR="004E5878">
        <w:t xml:space="preserve">, </w:t>
      </w:r>
      <w:r w:rsidR="002D6434">
        <w:t xml:space="preserve">Virgil </w:t>
      </w:r>
      <w:r w:rsidR="004E5878">
        <w:t>also adds a major embellishment</w:t>
      </w:r>
      <w:r w:rsidR="002D6434">
        <w:t xml:space="preserve"> to the myth, transforming </w:t>
      </w:r>
      <w:proofErr w:type="spellStart"/>
      <w:r w:rsidR="00DB6F8F">
        <w:t>Cacus</w:t>
      </w:r>
      <w:proofErr w:type="spellEnd"/>
      <w:r w:rsidR="00DB6F8F">
        <w:t xml:space="preserve"> </w:t>
      </w:r>
      <w:r w:rsidR="002D6434">
        <w:t xml:space="preserve">into </w:t>
      </w:r>
      <w:r w:rsidR="00DB6F8F">
        <w:t xml:space="preserve">a cave-dwelling, </w:t>
      </w:r>
      <w:r w:rsidR="004D6AE0">
        <w:t>fire-breathing fiend.</w:t>
      </w:r>
    </w:p>
    <w:p w:rsidR="00AC23E5" w:rsidRDefault="00B97BBE" w:rsidP="006C238C">
      <w:pPr>
        <w:ind w:firstLine="360"/>
      </w:pPr>
      <w:r>
        <w:t xml:space="preserve">Context suggests </w:t>
      </w:r>
      <w:r w:rsidR="00A852C8">
        <w:t xml:space="preserve">a </w:t>
      </w:r>
      <w:r w:rsidR="00D42F9E">
        <w:t xml:space="preserve">further, more subtle, allusion. </w:t>
      </w:r>
      <w:r w:rsidR="0009177E">
        <w:t xml:space="preserve">We are in the </w:t>
      </w:r>
      <w:proofErr w:type="spellStart"/>
      <w:r w:rsidR="0009177E">
        <w:t>Iliadic</w:t>
      </w:r>
      <w:proofErr w:type="spellEnd"/>
      <w:r w:rsidR="0009177E">
        <w:t xml:space="preserve"> section of the epic and Aeneas will repeat the </w:t>
      </w:r>
      <w:proofErr w:type="spellStart"/>
      <w:r w:rsidR="0009177E">
        <w:t>Achillean</w:t>
      </w:r>
      <w:proofErr w:type="spellEnd"/>
      <w:r w:rsidR="0009177E">
        <w:t xml:space="preserve"> story arc of loss, return, and revenge in the coming books. Moreover, evocations of the </w:t>
      </w:r>
      <w:r w:rsidR="00D42F9E">
        <w:t xml:space="preserve">Herculean shield and </w:t>
      </w:r>
      <w:proofErr w:type="spellStart"/>
      <w:r w:rsidR="00D42F9E">
        <w:rPr>
          <w:i/>
        </w:rPr>
        <w:t>kyknomachia</w:t>
      </w:r>
      <w:proofErr w:type="spellEnd"/>
      <w:r w:rsidR="00D42F9E">
        <w:t xml:space="preserve"> occur at a point where the narrative clearly recalls the divine arms fashioning of </w:t>
      </w:r>
      <w:r w:rsidR="00D42F9E" w:rsidRPr="00D42F9E">
        <w:rPr>
          <w:i/>
        </w:rPr>
        <w:t>Iliad</w:t>
      </w:r>
      <w:r w:rsidR="00D42F9E">
        <w:t xml:space="preserve"> 18.</w:t>
      </w:r>
      <w:r w:rsidR="00522BFB">
        <w:t xml:space="preserve"> </w:t>
      </w:r>
      <w:r w:rsidR="006C238C">
        <w:t>These parallels to</w:t>
      </w:r>
      <w:r w:rsidR="00870A56">
        <w:t xml:space="preserve"> Achilles</w:t>
      </w:r>
      <w:r w:rsidR="0009177E">
        <w:t xml:space="preserve"> </w:t>
      </w:r>
      <w:r w:rsidR="006C238C">
        <w:t>introduce</w:t>
      </w:r>
      <w:r w:rsidR="0009177E">
        <w:t xml:space="preserve"> a new potentiality, for, i</w:t>
      </w:r>
      <w:r w:rsidR="00A852C8">
        <w:t xml:space="preserve">n </w:t>
      </w:r>
      <w:r w:rsidR="00FA287F">
        <w:t xml:space="preserve">the </w:t>
      </w:r>
      <w:proofErr w:type="spellStart"/>
      <w:r w:rsidR="00FA287F" w:rsidRPr="00F624D0">
        <w:rPr>
          <w:i/>
        </w:rPr>
        <w:t>Cypria</w:t>
      </w:r>
      <w:proofErr w:type="spellEnd"/>
      <w:r w:rsidR="00FA287F">
        <w:t xml:space="preserve">, </w:t>
      </w:r>
      <w:r w:rsidR="00870A56">
        <w:t xml:space="preserve">he </w:t>
      </w:r>
      <w:r w:rsidR="00FA287F">
        <w:t xml:space="preserve">balanced the death of </w:t>
      </w:r>
      <w:proofErr w:type="spellStart"/>
      <w:r w:rsidR="00FA287F">
        <w:t>Protesilaos</w:t>
      </w:r>
      <w:proofErr w:type="spellEnd"/>
      <w:r w:rsidR="00FA287F">
        <w:t xml:space="preserve"> by </w:t>
      </w:r>
      <w:r w:rsidR="00A852C8">
        <w:t xml:space="preserve">killing </w:t>
      </w:r>
      <w:r w:rsidR="00870A56">
        <w:t xml:space="preserve">another </w:t>
      </w:r>
      <w:r w:rsidR="00FA287F">
        <w:t>Kyknos, son of Poseidon (</w:t>
      </w:r>
      <w:proofErr w:type="spellStart"/>
      <w:r w:rsidR="00FA287F">
        <w:t>Procl</w:t>
      </w:r>
      <w:proofErr w:type="spellEnd"/>
      <w:r w:rsidR="00FA287F">
        <w:t xml:space="preserve">. </w:t>
      </w:r>
      <w:r w:rsidR="00FA287F" w:rsidRPr="00123E6B">
        <w:rPr>
          <w:i/>
        </w:rPr>
        <w:t>Chr</w:t>
      </w:r>
      <w:r w:rsidR="00FA287F">
        <w:t>. 149-51). Pindar alludes to the event twice (</w:t>
      </w:r>
      <w:proofErr w:type="spellStart"/>
      <w:r w:rsidR="00FA287F" w:rsidRPr="00123E6B">
        <w:rPr>
          <w:i/>
        </w:rPr>
        <w:t>Ol</w:t>
      </w:r>
      <w:proofErr w:type="spellEnd"/>
      <w:r w:rsidR="00FA287F">
        <w:t xml:space="preserve">. 2.82, </w:t>
      </w:r>
      <w:r w:rsidR="00FA287F" w:rsidRPr="00123E6B">
        <w:rPr>
          <w:i/>
        </w:rPr>
        <w:t>Is</w:t>
      </w:r>
      <w:r w:rsidR="00FA287F">
        <w:t>. 5.39), suggesting its prominence in the epic cycle. Aristotle supplies the tradition that this Kyknos was an invulnerable foe who prevented the Achaeans from landing at Troy (</w:t>
      </w:r>
      <w:proofErr w:type="spellStart"/>
      <w:r w:rsidR="00FA287F">
        <w:t>Arist</w:t>
      </w:r>
      <w:proofErr w:type="spellEnd"/>
      <w:r w:rsidR="00FA287F">
        <w:t xml:space="preserve">. </w:t>
      </w:r>
      <w:r w:rsidR="00FA287F" w:rsidRPr="00123E6B">
        <w:rPr>
          <w:i/>
        </w:rPr>
        <w:t>Rh</w:t>
      </w:r>
      <w:r w:rsidR="00FA287F">
        <w:t xml:space="preserve">. 1396 </w:t>
      </w:r>
      <w:r w:rsidR="00FA287F" w:rsidRPr="000C38DA">
        <w:rPr>
          <w:vertAlign w:val="superscript"/>
        </w:rPr>
        <w:t>b</w:t>
      </w:r>
      <w:r w:rsidR="00FA287F">
        <w:t>15-18).</w:t>
      </w:r>
    </w:p>
    <w:p w:rsidR="00AC23E5" w:rsidRDefault="00ED5C45" w:rsidP="006C238C">
      <w:pPr>
        <w:ind w:firstLine="360"/>
      </w:pPr>
      <w:r>
        <w:t xml:space="preserve">The </w:t>
      </w:r>
      <w:r w:rsidR="00955D35">
        <w:t xml:space="preserve">interweaving of these </w:t>
      </w:r>
      <w:r w:rsidR="00536A3B">
        <w:t xml:space="preserve">two </w:t>
      </w:r>
      <w:r>
        <w:t xml:space="preserve">subtexts </w:t>
      </w:r>
      <w:r w:rsidR="00955D35">
        <w:t xml:space="preserve">generates </w:t>
      </w:r>
      <w:r w:rsidR="00537C8A">
        <w:t>a significant prolepsis</w:t>
      </w:r>
      <w:r w:rsidR="00361FF3">
        <w:t xml:space="preserve">. </w:t>
      </w:r>
      <w:proofErr w:type="spellStart"/>
      <w:r w:rsidR="0076778E">
        <w:t>Turnus</w:t>
      </w:r>
      <w:proofErr w:type="spellEnd"/>
      <w:r w:rsidR="0076778E">
        <w:t>’ challenge of the Trojan arrival echoes Kyknos’ opposition in the Homeric Cycle</w:t>
      </w:r>
      <w:r w:rsidR="00361FF3">
        <w:t xml:space="preserve">. Like that Kyknos, his death at the hands of an Achilles figure </w:t>
      </w:r>
      <w:r w:rsidR="00F17790">
        <w:t xml:space="preserve">lays the foundation for </w:t>
      </w:r>
      <w:r w:rsidR="004E7424">
        <w:t>fated events</w:t>
      </w:r>
      <w:r w:rsidR="00361FF3">
        <w:t xml:space="preserve">. </w:t>
      </w:r>
      <w:r w:rsidR="003C3405">
        <w:t xml:space="preserve">In other aspects, however, his characterization mirrors the Herculean Kyknos: </w:t>
      </w:r>
      <w:r w:rsidR="004E7424">
        <w:t xml:space="preserve">his adversary is commissioned by Apollo (3.154-88) and </w:t>
      </w:r>
      <w:r w:rsidR="003C3405">
        <w:t xml:space="preserve">he </w:t>
      </w:r>
      <w:r w:rsidR="00710FA3">
        <w:t xml:space="preserve">will adorn </w:t>
      </w:r>
      <w:r w:rsidR="003C3405">
        <w:t xml:space="preserve">his </w:t>
      </w:r>
      <w:r w:rsidR="004E7424">
        <w:t>chariot with heads (12.509-12)</w:t>
      </w:r>
      <w:r w:rsidR="003C3405">
        <w:t xml:space="preserve">. Two Virgilian innovations strengthen </w:t>
      </w:r>
      <w:r w:rsidR="00AC5D47">
        <w:t>the parallelism</w:t>
      </w:r>
      <w:r w:rsidR="003C3405">
        <w:t>.</w:t>
      </w:r>
      <w:r w:rsidR="00FB707E">
        <w:t xml:space="preserve"> Virgil broke with tradition in </w:t>
      </w:r>
      <w:proofErr w:type="spellStart"/>
      <w:r w:rsidR="00FB707E" w:rsidRPr="001F0E54">
        <w:rPr>
          <w:i/>
        </w:rPr>
        <w:t>Aeneid</w:t>
      </w:r>
      <w:proofErr w:type="spellEnd"/>
      <w:r w:rsidR="00FB707E">
        <w:t xml:space="preserve"> 7, casting </w:t>
      </w:r>
      <w:proofErr w:type="spellStart"/>
      <w:r w:rsidR="00FB707E">
        <w:t>Turnus</w:t>
      </w:r>
      <w:proofErr w:type="spellEnd"/>
      <w:r w:rsidR="00FB707E">
        <w:t xml:space="preserve"> as a failed suitor rather than a betrayed f</w:t>
      </w:r>
      <w:r w:rsidR="001C31B6">
        <w:t xml:space="preserve">iancé (Serv. ad 12.31; cf. </w:t>
      </w:r>
      <w:proofErr w:type="spellStart"/>
      <w:r w:rsidR="001C31B6">
        <w:t>Hors</w:t>
      </w:r>
      <w:r w:rsidR="00FB707E">
        <w:t>fall</w:t>
      </w:r>
      <w:proofErr w:type="spellEnd"/>
      <w:r w:rsidR="00FB707E">
        <w:t xml:space="preserve"> 2000, 82, 287-9), a change that undermines the legitimacy of his bellicosity and assimilates him to the lawless behavior of Kyknos. The derivation of </w:t>
      </w:r>
      <w:proofErr w:type="spellStart"/>
      <w:r w:rsidR="00FB707E">
        <w:t>Laurentum</w:t>
      </w:r>
      <w:proofErr w:type="spellEnd"/>
      <w:r w:rsidR="00FB707E">
        <w:t xml:space="preserve"> from the </w:t>
      </w:r>
      <w:proofErr w:type="spellStart"/>
      <w:r w:rsidR="00FB707E">
        <w:rPr>
          <w:i/>
        </w:rPr>
        <w:t>laurus</w:t>
      </w:r>
      <w:proofErr w:type="spellEnd"/>
      <w:r w:rsidR="00FB707E">
        <w:rPr>
          <w:i/>
        </w:rPr>
        <w:t xml:space="preserve"> </w:t>
      </w:r>
      <w:r w:rsidR="00FB707E">
        <w:t xml:space="preserve">dedicated to Apollo at the </w:t>
      </w:r>
      <w:r w:rsidR="001F0E54">
        <w:t>city’s</w:t>
      </w:r>
      <w:r w:rsidR="00B60551">
        <w:t xml:space="preserve"> founding is also unique (</w:t>
      </w:r>
      <w:proofErr w:type="spellStart"/>
      <w:r w:rsidR="00B60551">
        <w:t>Castagnoli</w:t>
      </w:r>
      <w:proofErr w:type="spellEnd"/>
      <w:r w:rsidR="00B60551">
        <w:t xml:space="preserve"> 1996, 325). In seizing the </w:t>
      </w:r>
      <w:proofErr w:type="spellStart"/>
      <w:r w:rsidR="00B60551">
        <w:rPr>
          <w:i/>
        </w:rPr>
        <w:t>arx</w:t>
      </w:r>
      <w:proofErr w:type="spellEnd"/>
      <w:r w:rsidR="00B60551">
        <w:rPr>
          <w:i/>
        </w:rPr>
        <w:t xml:space="preserve"> </w:t>
      </w:r>
      <w:proofErr w:type="spellStart"/>
      <w:r w:rsidR="00B60551">
        <w:rPr>
          <w:i/>
        </w:rPr>
        <w:t>Laurenti</w:t>
      </w:r>
      <w:proofErr w:type="spellEnd"/>
      <w:r w:rsidR="00B60551">
        <w:t xml:space="preserve">, </w:t>
      </w:r>
      <w:proofErr w:type="spellStart"/>
      <w:r w:rsidR="00B60551">
        <w:t>Turnus</w:t>
      </w:r>
      <w:proofErr w:type="spellEnd"/>
      <w:r w:rsidR="001F0E54">
        <w:t>, like Kyknos,</w:t>
      </w:r>
      <w:r w:rsidR="00B60551">
        <w:t xml:space="preserve"> usurps Apollonian spac</w:t>
      </w:r>
      <w:r w:rsidR="00D6335F">
        <w:t>e.</w:t>
      </w:r>
    </w:p>
    <w:p w:rsidR="006A6CB3" w:rsidRDefault="00E20595" w:rsidP="006C238C">
      <w:pPr>
        <w:ind w:firstLine="360"/>
      </w:pPr>
      <w:r>
        <w:t>L</w:t>
      </w:r>
      <w:r w:rsidR="00F1351B">
        <w:t>ess comfortable connotations also lie clo</w:t>
      </w:r>
      <w:r w:rsidR="00BD4616">
        <w:t>se at hand, f</w:t>
      </w:r>
      <w:r>
        <w:t xml:space="preserve">or the placement of the </w:t>
      </w:r>
      <w:proofErr w:type="spellStart"/>
      <w:r>
        <w:rPr>
          <w:i/>
        </w:rPr>
        <w:t>kyknomachia</w:t>
      </w:r>
      <w:proofErr w:type="spellEnd"/>
      <w:r>
        <w:rPr>
          <w:i/>
        </w:rPr>
        <w:t xml:space="preserve"> </w:t>
      </w:r>
      <w:r>
        <w:t xml:space="preserve">allusions invites </w:t>
      </w:r>
      <w:r w:rsidR="004465AE">
        <w:t xml:space="preserve">specific </w:t>
      </w:r>
      <w:r>
        <w:t xml:space="preserve">application </w:t>
      </w:r>
      <w:r w:rsidR="005253B6">
        <w:t xml:space="preserve">to </w:t>
      </w:r>
      <w:r w:rsidR="004465AE">
        <w:t xml:space="preserve">Actium and </w:t>
      </w:r>
      <w:r w:rsidR="005253B6">
        <w:t>Augustus</w:t>
      </w:r>
      <w:r w:rsidR="00C83D74">
        <w:t>.</w:t>
      </w:r>
      <w:r w:rsidR="00D95337">
        <w:t xml:space="preserve"> </w:t>
      </w:r>
      <w:r w:rsidR="00E53174">
        <w:t>T</w:t>
      </w:r>
      <w:r w:rsidR="000876BA">
        <w:t xml:space="preserve">he </w:t>
      </w:r>
      <w:proofErr w:type="spellStart"/>
      <w:r w:rsidR="000876BA">
        <w:t>princeps</w:t>
      </w:r>
      <w:proofErr w:type="spellEnd"/>
      <w:r w:rsidR="005253B6">
        <w:t xml:space="preserve"> </w:t>
      </w:r>
      <w:r w:rsidR="00593D2D">
        <w:lastRenderedPageBreak/>
        <w:t xml:space="preserve">appears </w:t>
      </w:r>
      <w:r>
        <w:t xml:space="preserve">as </w:t>
      </w:r>
      <w:r w:rsidR="00F1351B">
        <w:t xml:space="preserve">Apollo’s </w:t>
      </w:r>
      <w:r w:rsidR="007A78B7">
        <w:t xml:space="preserve">champion against an opposing and </w:t>
      </w:r>
      <w:r w:rsidR="00C83D74">
        <w:t xml:space="preserve">potentially </w:t>
      </w:r>
      <w:r w:rsidR="00F1351B">
        <w:t>usurping Antony</w:t>
      </w:r>
      <w:r w:rsidR="005E4950">
        <w:t xml:space="preserve">; however, </w:t>
      </w:r>
      <w:r w:rsidR="000876BA">
        <w:t xml:space="preserve">he concludes his </w:t>
      </w:r>
      <w:r w:rsidR="00F1351B" w:rsidRPr="00F1351B">
        <w:t xml:space="preserve">triumph </w:t>
      </w:r>
      <w:r w:rsidR="000876BA">
        <w:t xml:space="preserve">by </w:t>
      </w:r>
      <w:r w:rsidR="00F1351B" w:rsidRPr="00F1351B">
        <w:t xml:space="preserve">fastening trophies to the god’s Palatine temple. As Putnam (1995, 291-2) has observed, the </w:t>
      </w:r>
      <w:r w:rsidR="00775C58">
        <w:t>diction</w:t>
      </w:r>
      <w:r w:rsidR="009F1AD0">
        <w:t xml:space="preserve"> closely </w:t>
      </w:r>
      <w:r w:rsidR="00BD345D">
        <w:t>recall</w:t>
      </w:r>
      <w:r w:rsidR="009F1AD0">
        <w:t>s</w:t>
      </w:r>
      <w:r w:rsidR="00BD345D">
        <w:t xml:space="preserve"> the head-hunting of </w:t>
      </w:r>
      <w:proofErr w:type="spellStart"/>
      <w:r w:rsidR="00BD345D">
        <w:t>Cacus</w:t>
      </w:r>
      <w:proofErr w:type="spellEnd"/>
      <w:r w:rsidR="00F066AA">
        <w:t>.</w:t>
      </w:r>
      <w:r w:rsidR="001036C6">
        <w:t xml:space="preserve"> </w:t>
      </w:r>
      <w:r w:rsidR="006A6CB3">
        <w:t>Text and subtext</w:t>
      </w:r>
      <w:r w:rsidR="00207206">
        <w:t xml:space="preserve"> </w:t>
      </w:r>
      <w:r w:rsidR="00A46F2D">
        <w:t xml:space="preserve">combine </w:t>
      </w:r>
      <w:r w:rsidR="001C31B6">
        <w:t>to suggest a</w:t>
      </w:r>
      <w:r w:rsidR="00A46F2D">
        <w:t xml:space="preserve"> </w:t>
      </w:r>
      <w:r w:rsidR="006A6CB3">
        <w:t xml:space="preserve">disquieting portrait of </w:t>
      </w:r>
      <w:r w:rsidR="00584B93">
        <w:t>Augustus as</w:t>
      </w:r>
      <w:r w:rsidR="00B6103D">
        <w:t xml:space="preserve"> a</w:t>
      </w:r>
      <w:r w:rsidR="006A6CB3">
        <w:t xml:space="preserve"> “</w:t>
      </w:r>
      <w:proofErr w:type="spellStart"/>
      <w:r w:rsidR="006A6CB3">
        <w:t>frenemy</w:t>
      </w:r>
      <w:proofErr w:type="spellEnd"/>
      <w:r w:rsidR="006A6CB3">
        <w:t>”</w:t>
      </w:r>
      <w:r w:rsidR="007A78B7">
        <w:t xml:space="preserve"> and </w:t>
      </w:r>
      <w:r w:rsidR="00A46F2D">
        <w:t xml:space="preserve">to invite comparison between Actium and </w:t>
      </w:r>
      <w:r w:rsidR="007A78B7">
        <w:t xml:space="preserve">the opening </w:t>
      </w:r>
      <w:r w:rsidR="00466E3A">
        <w:t xml:space="preserve">events </w:t>
      </w:r>
      <w:r w:rsidR="00904595">
        <w:t xml:space="preserve">a war </w:t>
      </w:r>
      <w:r w:rsidR="007A78B7">
        <w:t xml:space="preserve">willed by </w:t>
      </w:r>
      <w:r w:rsidR="00C55D79">
        <w:t xml:space="preserve">a capricious </w:t>
      </w:r>
      <w:r w:rsidR="00904595">
        <w:t>Zeus for the sake of depopulation.</w:t>
      </w:r>
    </w:p>
    <w:p w:rsidR="00904595" w:rsidRDefault="00AD56F3" w:rsidP="006C238C">
      <w:pPr>
        <w:ind w:firstLine="360"/>
      </w:pPr>
      <w:r>
        <w:t xml:space="preserve">The strength of the </w:t>
      </w:r>
      <w:proofErr w:type="spellStart"/>
      <w:r>
        <w:rPr>
          <w:i/>
        </w:rPr>
        <w:t>kyknomachia</w:t>
      </w:r>
      <w:proofErr w:type="spellEnd"/>
      <w:r>
        <w:rPr>
          <w:i/>
        </w:rPr>
        <w:t xml:space="preserve"> </w:t>
      </w:r>
      <w:r>
        <w:t xml:space="preserve">allusion lies in its </w:t>
      </w:r>
      <w:proofErr w:type="spellStart"/>
      <w:r>
        <w:t>polyformity</w:t>
      </w:r>
      <w:proofErr w:type="spellEnd"/>
      <w:r>
        <w:t xml:space="preserve">. </w:t>
      </w:r>
      <w:r w:rsidR="00795943" w:rsidRPr="00E72CE9">
        <w:t>Facile comparison anticipates</w:t>
      </w:r>
      <w:r w:rsidR="00795943">
        <w:t xml:space="preserve"> and legitimizes </w:t>
      </w:r>
      <w:proofErr w:type="spellStart"/>
      <w:r>
        <w:t>Turnus</w:t>
      </w:r>
      <w:proofErr w:type="spellEnd"/>
      <w:r>
        <w:t xml:space="preserve">’ and Antony’s </w:t>
      </w:r>
      <w:r w:rsidR="00795943">
        <w:t>death</w:t>
      </w:r>
      <w:r w:rsidR="007A78B7">
        <w:t>s</w:t>
      </w:r>
      <w:r w:rsidR="00D14B9D">
        <w:t>, but closer examination suggests</w:t>
      </w:r>
      <w:r w:rsidR="00795943" w:rsidRPr="00E72CE9">
        <w:t xml:space="preserve"> </w:t>
      </w:r>
      <w:r w:rsidR="00D14B9D">
        <w:t xml:space="preserve">a </w:t>
      </w:r>
      <w:r w:rsidR="00795943" w:rsidRPr="00E72CE9">
        <w:t>problematic similitude between victor and vanquished</w:t>
      </w:r>
      <w:r w:rsidR="00795943">
        <w:t xml:space="preserve">. </w:t>
      </w:r>
      <w:r w:rsidR="00376F62">
        <w:t xml:space="preserve">Virgil uses this </w:t>
      </w:r>
      <w:r w:rsidR="00795943">
        <w:t xml:space="preserve">synthesis of conflicting possibilities </w:t>
      </w:r>
      <w:r w:rsidR="00376F62">
        <w:t xml:space="preserve">to mediate the tension </w:t>
      </w:r>
      <w:r w:rsidR="00795943">
        <w:t xml:space="preserve">between living memory of civil wars and the </w:t>
      </w:r>
      <w:r w:rsidR="00795943" w:rsidRPr="00E72CE9">
        <w:t>cautious optimism of Rome in the 20s</w:t>
      </w:r>
      <w:r w:rsidR="00795943">
        <w:t>.</w:t>
      </w:r>
    </w:p>
    <w:p w:rsidR="00795943" w:rsidRDefault="00795943" w:rsidP="006C238C">
      <w:pPr>
        <w:ind w:firstLine="360"/>
      </w:pPr>
      <w:r>
        <w:t xml:space="preserve"> </w:t>
      </w:r>
    </w:p>
    <w:p w:rsidR="004827B7" w:rsidRPr="00F1351B" w:rsidRDefault="00F1351B" w:rsidP="006C238C">
      <w:pPr>
        <w:rPr>
          <w:b/>
        </w:rPr>
      </w:pPr>
      <w:r w:rsidRPr="00F1351B">
        <w:rPr>
          <w:b/>
        </w:rPr>
        <w:t>Bibliography</w:t>
      </w:r>
    </w:p>
    <w:p w:rsidR="00F1351B" w:rsidRDefault="00F1351B" w:rsidP="006C238C">
      <w:pPr>
        <w:ind w:left="360" w:hanging="360"/>
      </w:pPr>
      <w:proofErr w:type="spellStart"/>
      <w:r>
        <w:t>Castagnoli</w:t>
      </w:r>
      <w:proofErr w:type="spellEnd"/>
      <w:r>
        <w:t xml:space="preserve">, </w:t>
      </w:r>
      <w:proofErr w:type="spellStart"/>
      <w:r>
        <w:t>Ferdinando</w:t>
      </w:r>
      <w:proofErr w:type="spellEnd"/>
      <w:r>
        <w:t>. “</w:t>
      </w:r>
      <w:proofErr w:type="spellStart"/>
      <w:r>
        <w:t>Laurentes</w:t>
      </w:r>
      <w:proofErr w:type="spellEnd"/>
      <w:r>
        <w:t xml:space="preserve">” in </w:t>
      </w:r>
      <w:proofErr w:type="spellStart"/>
      <w:r w:rsidRPr="00CD67B6">
        <w:rPr>
          <w:i/>
        </w:rPr>
        <w:t>Enciclopedia</w:t>
      </w:r>
      <w:proofErr w:type="spellEnd"/>
      <w:r w:rsidRPr="00CD67B6">
        <w:rPr>
          <w:i/>
        </w:rPr>
        <w:t xml:space="preserve"> </w:t>
      </w:r>
      <w:proofErr w:type="spellStart"/>
      <w:r w:rsidRPr="00CD67B6">
        <w:rPr>
          <w:i/>
        </w:rPr>
        <w:t>Virgiliana</w:t>
      </w:r>
      <w:proofErr w:type="spellEnd"/>
      <w:r>
        <w:t xml:space="preserve">, ed. Francesco Della Corte. (Roma: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Enciclopedia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, 1996)</w:t>
      </w:r>
    </w:p>
    <w:p w:rsidR="00E75DA9" w:rsidRDefault="00904595" w:rsidP="006C238C">
      <w:pPr>
        <w:ind w:left="360" w:hanging="360"/>
      </w:pPr>
      <w:proofErr w:type="spellStart"/>
      <w:r>
        <w:t>Eichholz</w:t>
      </w:r>
      <w:proofErr w:type="spellEnd"/>
      <w:r>
        <w:t>, D.E</w:t>
      </w:r>
      <w:r w:rsidR="00E75DA9" w:rsidRPr="000C1BCC">
        <w:t xml:space="preserve">. </w:t>
      </w:r>
      <w:r w:rsidR="00E75DA9">
        <w:t>“</w:t>
      </w:r>
      <w:r w:rsidR="00E75DA9" w:rsidRPr="00E87774">
        <w:t>The Shield of Aeneas. Some Elementary Notions</w:t>
      </w:r>
      <w:r w:rsidR="00E75DA9">
        <w:t xml:space="preserve">”, </w:t>
      </w:r>
      <w:r w:rsidR="00E75DA9" w:rsidRPr="00E87774">
        <w:rPr>
          <w:i/>
        </w:rPr>
        <w:t>PVS</w:t>
      </w:r>
      <w:r w:rsidR="00E75DA9">
        <w:t xml:space="preserve"> 6 (1966)</w:t>
      </w:r>
      <w:r w:rsidR="00E75DA9" w:rsidRPr="000C1BCC">
        <w:t xml:space="preserve"> 45-9</w:t>
      </w:r>
    </w:p>
    <w:p w:rsidR="00F1351B" w:rsidRDefault="00F1351B" w:rsidP="006C238C">
      <w:pPr>
        <w:ind w:left="360" w:hanging="360"/>
      </w:pPr>
      <w:r>
        <w:t>Faber, Reimer. “Vergil’s ‘Shield of Aeneas’ (</w:t>
      </w:r>
      <w:r w:rsidRPr="006D436E">
        <w:rPr>
          <w:i/>
        </w:rPr>
        <w:t>Aeneid</w:t>
      </w:r>
      <w:r>
        <w:t xml:space="preserve"> 8.617-731) and the </w:t>
      </w:r>
      <w:r w:rsidRPr="001946CE">
        <w:rPr>
          <w:i/>
        </w:rPr>
        <w:t>Shield of Heracles</w:t>
      </w:r>
      <w:r>
        <w:t xml:space="preserve">”. </w:t>
      </w:r>
      <w:r w:rsidRPr="00E87774">
        <w:rPr>
          <w:i/>
        </w:rPr>
        <w:t>Mnemosyne</w:t>
      </w:r>
      <w:r>
        <w:t xml:space="preserve"> 53 (2000) 49-57</w:t>
      </w:r>
    </w:p>
    <w:p w:rsidR="00E75DA9" w:rsidRDefault="00E75DA9" w:rsidP="006C238C">
      <w:pPr>
        <w:ind w:left="360" w:hanging="360"/>
      </w:pPr>
      <w:proofErr w:type="spellStart"/>
      <w:r>
        <w:t>Galinsky</w:t>
      </w:r>
      <w:proofErr w:type="spellEnd"/>
      <w:r>
        <w:t xml:space="preserve">, G. Karl. “Hercules in the </w:t>
      </w:r>
      <w:r w:rsidRPr="00700186">
        <w:rPr>
          <w:i/>
        </w:rPr>
        <w:t>Aeneid</w:t>
      </w:r>
      <w:r>
        <w:t xml:space="preserve">” in </w:t>
      </w:r>
      <w:r w:rsidRPr="00E87774">
        <w:rPr>
          <w:i/>
        </w:rPr>
        <w:t>Oxford Readings in Vergil’s Aeneid</w:t>
      </w:r>
      <w:r>
        <w:t>, S.J. Harrison, ed. (Oxford: Oxford University Press 1990)</w:t>
      </w:r>
    </w:p>
    <w:p w:rsidR="00F1351B" w:rsidRDefault="00F1351B" w:rsidP="006C238C">
      <w:pPr>
        <w:ind w:left="360" w:hanging="360"/>
      </w:pPr>
      <w:proofErr w:type="spellStart"/>
      <w:r>
        <w:t>Horsfall</w:t>
      </w:r>
      <w:proofErr w:type="spellEnd"/>
      <w:r>
        <w:t xml:space="preserve">, Nicholas. </w:t>
      </w:r>
      <w:r w:rsidRPr="00E87774">
        <w:rPr>
          <w:i/>
        </w:rPr>
        <w:t>Virgil Aeneid 7: a Commentary</w:t>
      </w:r>
      <w:r>
        <w:t xml:space="preserve">. (Leiden: Brill 2000) </w:t>
      </w:r>
    </w:p>
    <w:p w:rsidR="00C53514" w:rsidRDefault="00F1351B" w:rsidP="006C238C">
      <w:pPr>
        <w:ind w:left="360" w:hanging="360"/>
      </w:pPr>
      <w:r>
        <w:t xml:space="preserve">Putnam, Michael C.J. </w:t>
      </w:r>
      <w:r w:rsidRPr="004563F0">
        <w:rPr>
          <w:i/>
        </w:rPr>
        <w:t>Virgil’s Aeneid: Interpretation and Influence</w:t>
      </w:r>
      <w:r>
        <w:t xml:space="preserve"> (Chapel Hill, NC: University of North Carolina Press, 1995)</w:t>
      </w:r>
    </w:p>
    <w:sectPr w:rsidR="00C53514" w:rsidSect="00BD3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9B" w:rsidRDefault="009D439B" w:rsidP="009347E4">
      <w:r>
        <w:separator/>
      </w:r>
    </w:p>
  </w:endnote>
  <w:endnote w:type="continuationSeparator" w:id="0">
    <w:p w:rsidR="009D439B" w:rsidRDefault="009D439B" w:rsidP="009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9B" w:rsidRDefault="009D439B" w:rsidP="009347E4">
      <w:r>
        <w:separator/>
      </w:r>
    </w:p>
  </w:footnote>
  <w:footnote w:type="continuationSeparator" w:id="0">
    <w:p w:rsidR="009D439B" w:rsidRDefault="009D439B" w:rsidP="00934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E4" w:rsidRDefault="00934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4E1"/>
    <w:multiLevelType w:val="hybridMultilevel"/>
    <w:tmpl w:val="9BAEE848"/>
    <w:lvl w:ilvl="0" w:tplc="5FC6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A"/>
    <w:rsid w:val="000876BA"/>
    <w:rsid w:val="0009177E"/>
    <w:rsid w:val="000A4575"/>
    <w:rsid w:val="000A7083"/>
    <w:rsid w:val="000C38DA"/>
    <w:rsid w:val="000C474D"/>
    <w:rsid w:val="000E45CF"/>
    <w:rsid w:val="001036C6"/>
    <w:rsid w:val="00104991"/>
    <w:rsid w:val="00123E6B"/>
    <w:rsid w:val="00134EAA"/>
    <w:rsid w:val="0013710B"/>
    <w:rsid w:val="001946CE"/>
    <w:rsid w:val="001A0694"/>
    <w:rsid w:val="001B1949"/>
    <w:rsid w:val="001B40F3"/>
    <w:rsid w:val="001B7DC1"/>
    <w:rsid w:val="001C31B6"/>
    <w:rsid w:val="001D203D"/>
    <w:rsid w:val="001F0E54"/>
    <w:rsid w:val="00207206"/>
    <w:rsid w:val="002257F5"/>
    <w:rsid w:val="00256373"/>
    <w:rsid w:val="002568DE"/>
    <w:rsid w:val="00270542"/>
    <w:rsid w:val="002D6434"/>
    <w:rsid w:val="002E00DF"/>
    <w:rsid w:val="002E6DA9"/>
    <w:rsid w:val="00361FF3"/>
    <w:rsid w:val="00376F62"/>
    <w:rsid w:val="00397AC2"/>
    <w:rsid w:val="003B5465"/>
    <w:rsid w:val="003C3405"/>
    <w:rsid w:val="003E369D"/>
    <w:rsid w:val="003F57D6"/>
    <w:rsid w:val="003F6110"/>
    <w:rsid w:val="003F7DC9"/>
    <w:rsid w:val="0042179F"/>
    <w:rsid w:val="00444105"/>
    <w:rsid w:val="004465AE"/>
    <w:rsid w:val="004563F0"/>
    <w:rsid w:val="00466E3A"/>
    <w:rsid w:val="004827B7"/>
    <w:rsid w:val="00490F1D"/>
    <w:rsid w:val="004B5F63"/>
    <w:rsid w:val="004D5E93"/>
    <w:rsid w:val="004D6AE0"/>
    <w:rsid w:val="004E5878"/>
    <w:rsid w:val="004E7424"/>
    <w:rsid w:val="00522BFB"/>
    <w:rsid w:val="005253B6"/>
    <w:rsid w:val="0053140A"/>
    <w:rsid w:val="00536A3B"/>
    <w:rsid w:val="00537C8A"/>
    <w:rsid w:val="00543FE1"/>
    <w:rsid w:val="00555ADE"/>
    <w:rsid w:val="00566782"/>
    <w:rsid w:val="005731DE"/>
    <w:rsid w:val="00580940"/>
    <w:rsid w:val="00584B93"/>
    <w:rsid w:val="00593D2D"/>
    <w:rsid w:val="005D03CF"/>
    <w:rsid w:val="005E4950"/>
    <w:rsid w:val="005E6DD8"/>
    <w:rsid w:val="0064327A"/>
    <w:rsid w:val="00646655"/>
    <w:rsid w:val="006A3CD7"/>
    <w:rsid w:val="006A6CB3"/>
    <w:rsid w:val="006C238C"/>
    <w:rsid w:val="006C4E16"/>
    <w:rsid w:val="006D436E"/>
    <w:rsid w:val="006D65C5"/>
    <w:rsid w:val="00700186"/>
    <w:rsid w:val="00710FA3"/>
    <w:rsid w:val="007176EB"/>
    <w:rsid w:val="007312B0"/>
    <w:rsid w:val="00757ECA"/>
    <w:rsid w:val="0076778E"/>
    <w:rsid w:val="00775C58"/>
    <w:rsid w:val="00795943"/>
    <w:rsid w:val="007A78B7"/>
    <w:rsid w:val="007C01BC"/>
    <w:rsid w:val="007E7DD2"/>
    <w:rsid w:val="0081529F"/>
    <w:rsid w:val="008306FA"/>
    <w:rsid w:val="00846C9A"/>
    <w:rsid w:val="0085717A"/>
    <w:rsid w:val="00870A56"/>
    <w:rsid w:val="008714A3"/>
    <w:rsid w:val="00883500"/>
    <w:rsid w:val="0088634D"/>
    <w:rsid w:val="008D1601"/>
    <w:rsid w:val="008D3442"/>
    <w:rsid w:val="00901C2D"/>
    <w:rsid w:val="00904595"/>
    <w:rsid w:val="009347E4"/>
    <w:rsid w:val="0095103E"/>
    <w:rsid w:val="00955D35"/>
    <w:rsid w:val="00980B92"/>
    <w:rsid w:val="009968F4"/>
    <w:rsid w:val="009D439B"/>
    <w:rsid w:val="009D47C0"/>
    <w:rsid w:val="009E2D7D"/>
    <w:rsid w:val="009F1AD0"/>
    <w:rsid w:val="00A12978"/>
    <w:rsid w:val="00A218F6"/>
    <w:rsid w:val="00A36122"/>
    <w:rsid w:val="00A46F2D"/>
    <w:rsid w:val="00A852C8"/>
    <w:rsid w:val="00A87662"/>
    <w:rsid w:val="00AB065D"/>
    <w:rsid w:val="00AC23E5"/>
    <w:rsid w:val="00AC5D47"/>
    <w:rsid w:val="00AC7976"/>
    <w:rsid w:val="00AD3F0E"/>
    <w:rsid w:val="00AD56F3"/>
    <w:rsid w:val="00B125D4"/>
    <w:rsid w:val="00B33633"/>
    <w:rsid w:val="00B43206"/>
    <w:rsid w:val="00B445F9"/>
    <w:rsid w:val="00B60551"/>
    <w:rsid w:val="00B6103D"/>
    <w:rsid w:val="00B730B5"/>
    <w:rsid w:val="00B82BDF"/>
    <w:rsid w:val="00B91A01"/>
    <w:rsid w:val="00B97BBE"/>
    <w:rsid w:val="00BB36F2"/>
    <w:rsid w:val="00BC1D3B"/>
    <w:rsid w:val="00BC7493"/>
    <w:rsid w:val="00BD1D5A"/>
    <w:rsid w:val="00BD345D"/>
    <w:rsid w:val="00BD4616"/>
    <w:rsid w:val="00BF6232"/>
    <w:rsid w:val="00C23490"/>
    <w:rsid w:val="00C26B88"/>
    <w:rsid w:val="00C45220"/>
    <w:rsid w:val="00C52473"/>
    <w:rsid w:val="00C53514"/>
    <w:rsid w:val="00C55D79"/>
    <w:rsid w:val="00C71A50"/>
    <w:rsid w:val="00C80400"/>
    <w:rsid w:val="00C83D74"/>
    <w:rsid w:val="00C96CAC"/>
    <w:rsid w:val="00CA11CB"/>
    <w:rsid w:val="00CB4F14"/>
    <w:rsid w:val="00CD67B6"/>
    <w:rsid w:val="00CE79B8"/>
    <w:rsid w:val="00CF392B"/>
    <w:rsid w:val="00D14B9D"/>
    <w:rsid w:val="00D42F9E"/>
    <w:rsid w:val="00D47965"/>
    <w:rsid w:val="00D6335F"/>
    <w:rsid w:val="00D649A2"/>
    <w:rsid w:val="00D95337"/>
    <w:rsid w:val="00D95663"/>
    <w:rsid w:val="00DB6F8F"/>
    <w:rsid w:val="00DF7081"/>
    <w:rsid w:val="00E06F2A"/>
    <w:rsid w:val="00E102DB"/>
    <w:rsid w:val="00E20595"/>
    <w:rsid w:val="00E53174"/>
    <w:rsid w:val="00E75DA9"/>
    <w:rsid w:val="00E87774"/>
    <w:rsid w:val="00EA2BD8"/>
    <w:rsid w:val="00EB1E58"/>
    <w:rsid w:val="00EC4E9B"/>
    <w:rsid w:val="00ED5C45"/>
    <w:rsid w:val="00EE08AF"/>
    <w:rsid w:val="00F0003E"/>
    <w:rsid w:val="00F066AA"/>
    <w:rsid w:val="00F1351B"/>
    <w:rsid w:val="00F17790"/>
    <w:rsid w:val="00F24F45"/>
    <w:rsid w:val="00F624D0"/>
    <w:rsid w:val="00F741C5"/>
    <w:rsid w:val="00F91433"/>
    <w:rsid w:val="00FA287F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F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4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47E4"/>
    <w:rPr>
      <w:sz w:val="24"/>
      <w:szCs w:val="24"/>
    </w:rPr>
  </w:style>
  <w:style w:type="paragraph" w:styleId="Footer">
    <w:name w:val="footer"/>
    <w:basedOn w:val="Normal"/>
    <w:link w:val="FooterChar"/>
    <w:rsid w:val="00934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47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F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4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47E4"/>
    <w:rPr>
      <w:sz w:val="24"/>
      <w:szCs w:val="24"/>
    </w:rPr>
  </w:style>
  <w:style w:type="paragraph" w:styleId="Footer">
    <w:name w:val="footer"/>
    <w:basedOn w:val="Normal"/>
    <w:link w:val="FooterChar"/>
    <w:rsid w:val="00934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47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765EA2B7</Template>
  <TotalTime>0</TotalTime>
  <Pages>2</Pages>
  <Words>787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2011-09-24T11:59:00Z</dcterms:created>
  <dcterms:modified xsi:type="dcterms:W3CDTF">2011-09-24T11:59:00Z</dcterms:modified>
</cp:coreProperties>
</file>