
<file path=[Content_Types].xml><?xml version="1.0" encoding="utf-8"?>
<Types xmlns="http://schemas.openxmlformats.org/package/2006/content-types">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bookmarkStart w:id="0" w:name="_GoBack"/>
      <w:bookmarkEnd w:id="0"/>
      <w:r>
        <w:rPr>
          <w:sz w:val="24"/>
          <w:szCs w:val="24"/>
          <w:rFonts w:ascii="Times New Roman" w:cs="Times New Roman" w:hAnsi="Times New Roman"/>
        </w:rPr>
        <w:t xml:space="preserve">What does εὐκλεᾶ λαοσσόων μναστῆρ’ ἀγώνων at </w:t>
      </w:r>
      <w:r>
        <w:rPr>
          <w:sz w:val="24"/>
          <w:i/>
          <w:szCs w:val="24"/>
          <w:rFonts w:ascii="Times New Roman" w:cs="Times New Roman" w:hAnsi="Times New Roman"/>
        </w:rPr>
        <w:t>Pythian</w:t>
      </w:r>
      <w:r>
        <w:rPr>
          <w:sz w:val="24"/>
          <w:szCs w:val="24"/>
          <w:rFonts w:ascii="Times New Roman" w:cs="Times New Roman" w:hAnsi="Times New Roman"/>
        </w:rPr>
        <w:t xml:space="preserve"> 12.24 mean?</w:t>
      </w:r>
    </w:p>
    <w:p>
      <w:pPr>
        <w:pStyle w:val="style0"/>
      </w:pPr>
      <w:r>
        <w:rPr>
          <w:sz w:val="24"/>
          <w:szCs w:val="24"/>
          <w:rFonts w:ascii="Times New Roman" w:cs="Times New Roman" w:hAnsi="Times New Roman"/>
        </w:rPr>
      </w:r>
    </w:p>
    <w:p>
      <w:pPr>
        <w:pStyle w:val="style0"/>
      </w:pPr>
      <w:r>
        <w:rPr>
          <w:sz w:val="24"/>
          <w:i/>
          <w:szCs w:val="24"/>
          <w:rFonts w:ascii="Times New Roman" w:cs="Times New Roman" w:hAnsi="Times New Roman"/>
        </w:rPr>
        <w:t>Pythian</w:t>
      </w:r>
      <w:r>
        <w:rPr>
          <w:sz w:val="24"/>
          <w:szCs w:val="24"/>
          <w:rFonts w:ascii="Times New Roman" w:cs="Times New Roman" w:hAnsi="Times New Roman"/>
        </w:rPr>
        <w:t xml:space="preserve"> 12, for Midas the aulete, stands as the only surviving example of an epinician ode composed for a victory in a musical contest.  It is only natural, then, that scholarly discussion has emphasized the musical qualities of the Greek aulos in general, or those of the </w:t>
      </w:r>
      <w:r>
        <w:rPr>
          <w:sz w:val="24"/>
          <w:i/>
          <w:szCs w:val="24"/>
          <w:rFonts w:ascii="Times New Roman" w:cs="Times New Roman" w:hAnsi="Times New Roman"/>
        </w:rPr>
        <w:t>polycephalus nomos</w:t>
      </w:r>
      <w:r>
        <w:rPr>
          <w:sz w:val="24"/>
          <w:szCs w:val="24"/>
          <w:rFonts w:ascii="Times New Roman" w:cs="Times New Roman" w:hAnsi="Times New Roman"/>
        </w:rPr>
        <w:t xml:space="preserve"> in particular, e.g., the question whether its likely mimetic character included a blending of the Gorgons’ lament and Perseus’ victory-cry (Clay [1992] 523-5, followed by Segal [1995] 12-13; for contrasting views, see Gentili and Luisi [1995] 8, Held [1998] passim).  This focus on piping </w:t>
      </w:r>
      <w:r>
        <w:rPr>
          <w:sz w:val="24"/>
          <w:i/>
          <w:szCs w:val="24"/>
          <w:rFonts w:ascii="Times New Roman" w:cs="Times New Roman" w:hAnsi="Times New Roman"/>
        </w:rPr>
        <w:t>qua</w:t>
      </w:r>
      <w:r>
        <w:rPr>
          <w:sz w:val="24"/>
          <w:szCs w:val="24"/>
          <w:rFonts w:ascii="Times New Roman" w:cs="Times New Roman" w:hAnsi="Times New Roman"/>
        </w:rPr>
        <w:t xml:space="preserve"> music, however, can be taken too far, and has led to the misinterpretation of some passages in the ode.</w:t>
      </w:r>
    </w:p>
    <w:p>
      <w:pPr>
        <w:pStyle w:val="style0"/>
      </w:pPr>
      <w:r>
        <w:rPr>
          <w:sz w:val="24"/>
          <w:szCs w:val="24"/>
          <w:rFonts w:ascii="Times New Roman" w:cs="Times New Roman" w:hAnsi="Times New Roman"/>
        </w:rPr>
      </w:r>
    </w:p>
    <w:p>
      <w:pPr>
        <w:pStyle w:val="style0"/>
      </w:pPr>
      <w:r>
        <w:rPr>
          <w:sz w:val="24"/>
          <w:szCs w:val="24"/>
          <w:rFonts w:ascii="Times New Roman" w:cs="Times New Roman" w:hAnsi="Times New Roman"/>
        </w:rPr>
        <w:t xml:space="preserve">            </w:t>
      </w:r>
      <w:r>
        <w:rPr>
          <w:sz w:val="24"/>
          <w:szCs w:val="24"/>
          <w:rFonts w:ascii="Times New Roman" w:cs="Times New Roman" w:hAnsi="Times New Roman"/>
        </w:rPr>
        <w:t xml:space="preserve">One such passage is found at line 24, where scholars take the phrase εὐκλεᾶ λαοσσόων μναστῆρ’ ἀγώνων to speak either to pipe-music’s epinician functionality (e.g., Köhnken [1971] 138-40) or to its ability to draw an audience (e.g., Gentili [1995] ad loc.)  In this paper I shall argue that this interpretation is incorrect.  Piping in general—and the </w:t>
      </w:r>
      <w:r>
        <w:rPr>
          <w:sz w:val="24"/>
          <w:i/>
          <w:szCs w:val="24"/>
          <w:rFonts w:ascii="Times New Roman" w:cs="Times New Roman" w:hAnsi="Times New Roman"/>
        </w:rPr>
        <w:t>polycephalus nomos</w:t>
      </w:r>
      <w:r>
        <w:rPr>
          <w:sz w:val="24"/>
          <w:szCs w:val="24"/>
          <w:rFonts w:ascii="Times New Roman" w:cs="Times New Roman" w:hAnsi="Times New Roman"/>
        </w:rPr>
        <w:t xml:space="preserve"> in particular—is “suitor of the games” in the sense that it actively seeks out the games, i.e., it is a personified athletic competitor.  Such an interpretation is well in line with Pindar’s use of μνηστήρ and related imagery in connection with athletes in </w:t>
      </w:r>
      <w:r>
        <w:rPr>
          <w:sz w:val="24"/>
          <w:i/>
          <w:szCs w:val="24"/>
          <w:rFonts w:ascii="Times New Roman" w:cs="Times New Roman" w:hAnsi="Times New Roman"/>
        </w:rPr>
        <w:t>Olympian</w:t>
      </w:r>
      <w:r>
        <w:rPr>
          <w:sz w:val="24"/>
          <w:szCs w:val="24"/>
          <w:rFonts w:ascii="Times New Roman" w:cs="Times New Roman" w:hAnsi="Times New Roman"/>
        </w:rPr>
        <w:t xml:space="preserve"> 1 and 7, </w:t>
      </w:r>
      <w:r>
        <w:rPr>
          <w:sz w:val="24"/>
          <w:i/>
          <w:szCs w:val="24"/>
          <w:rFonts w:ascii="Times New Roman" w:cs="Times New Roman" w:hAnsi="Times New Roman"/>
        </w:rPr>
        <w:t>Pythian</w:t>
      </w:r>
      <w:r>
        <w:rPr>
          <w:sz w:val="24"/>
          <w:szCs w:val="24"/>
          <w:rFonts w:ascii="Times New Roman" w:cs="Times New Roman" w:hAnsi="Times New Roman"/>
        </w:rPr>
        <w:t xml:space="preserve"> 9, </w:t>
      </w:r>
      <w:r>
        <w:rPr>
          <w:sz w:val="24"/>
          <w:i/>
          <w:szCs w:val="24"/>
          <w:rFonts w:ascii="Times New Roman" w:cs="Times New Roman" w:hAnsi="Times New Roman"/>
        </w:rPr>
        <w:t>Nemean</w:t>
      </w:r>
      <w:r>
        <w:rPr>
          <w:sz w:val="24"/>
          <w:szCs w:val="24"/>
          <w:rFonts w:ascii="Times New Roman" w:cs="Times New Roman" w:hAnsi="Times New Roman"/>
        </w:rPr>
        <w:t xml:space="preserve"> 1, </w:t>
      </w:r>
      <w:r>
        <w:rPr>
          <w:sz w:val="24"/>
          <w:i/>
          <w:szCs w:val="24"/>
          <w:rFonts w:ascii="Times New Roman" w:cs="Times New Roman" w:hAnsi="Times New Roman"/>
        </w:rPr>
        <w:t>Isthmian</w:t>
      </w:r>
      <w:r>
        <w:rPr>
          <w:sz w:val="24"/>
          <w:szCs w:val="24"/>
          <w:rFonts w:ascii="Times New Roman" w:cs="Times New Roman" w:hAnsi="Times New Roman"/>
        </w:rPr>
        <w:t xml:space="preserve"> 2, and fr. 20.  It is also consistent with the treatment of suitors in myth, as well as the metaphorical usage of μνηστήρ and related terms in Josephus, Philo, and other later authors.</w:t>
      </w:r>
    </w:p>
    <w:p>
      <w:pPr>
        <w:pStyle w:val="style0"/>
      </w:pPr>
      <w:r>
        <w:rPr>
          <w:sz w:val="24"/>
          <w:szCs w:val="24"/>
          <w:rFonts w:ascii="Times New Roman" w:cs="Times New Roman" w:hAnsi="Times New Roman"/>
        </w:rPr>
      </w:r>
    </w:p>
    <w:p>
      <w:pPr>
        <w:pStyle w:val="style0"/>
      </w:pPr>
      <w:r>
        <w:rPr>
          <w:sz w:val="24"/>
          <w:szCs w:val="24"/>
          <w:rFonts w:ascii="Times New Roman" w:cs="Times New Roman" w:hAnsi="Times New Roman"/>
        </w:rPr>
        <w:t xml:space="preserve">            </w:t>
      </w:r>
      <w:r>
        <w:rPr>
          <w:sz w:val="24"/>
          <w:szCs w:val="24"/>
          <w:rFonts w:ascii="Times New Roman" w:cs="Times New Roman" w:hAnsi="Times New Roman"/>
        </w:rPr>
        <w:t xml:space="preserve">The </w:t>
      </w:r>
      <w:r>
        <w:rPr>
          <w:sz w:val="24"/>
          <w:i/>
          <w:szCs w:val="24"/>
          <w:rFonts w:ascii="Times New Roman" w:cs="Times New Roman" w:hAnsi="Times New Roman"/>
        </w:rPr>
        <w:t>polycephalus nomos</w:t>
      </w:r>
      <w:r>
        <w:rPr>
          <w:sz w:val="24"/>
          <w:szCs w:val="24"/>
          <w:rFonts w:ascii="Times New Roman" w:cs="Times New Roman" w:hAnsi="Times New Roman"/>
        </w:rPr>
        <w:t xml:space="preserve"> is called εὐκλεῆς in line 24 not because it imparts glory to others, but because it has received the reflected glory of Perseus through the name bestowed on it by Athena.  This mirrors the linking of </w:t>
      </w:r>
      <w:r>
        <w:rPr>
          <w:sz w:val="24"/>
          <w:i/>
          <w:szCs w:val="24"/>
          <w:rFonts w:ascii="Times New Roman" w:cs="Times New Roman" w:hAnsi="Times New Roman"/>
        </w:rPr>
        <w:t>kleos</w:t>
      </w:r>
      <w:r>
        <w:rPr>
          <w:sz w:val="24"/>
          <w:szCs w:val="24"/>
          <w:rFonts w:ascii="Times New Roman" w:cs="Times New Roman" w:hAnsi="Times New Roman"/>
        </w:rPr>
        <w:t xml:space="preserve"> and suitors found in </w:t>
      </w:r>
      <w:r>
        <w:rPr>
          <w:sz w:val="24"/>
          <w:i/>
          <w:szCs w:val="24"/>
          <w:rFonts w:ascii="Times New Roman" w:cs="Times New Roman" w:hAnsi="Times New Roman"/>
        </w:rPr>
        <w:t>Olympian</w:t>
      </w:r>
      <w:r>
        <w:rPr>
          <w:sz w:val="24"/>
          <w:szCs w:val="24"/>
          <w:rFonts w:ascii="Times New Roman" w:cs="Times New Roman" w:hAnsi="Times New Roman"/>
        </w:rPr>
        <w:t xml:space="preserve"> 1 and </w:t>
      </w:r>
      <w:r>
        <w:rPr>
          <w:sz w:val="24"/>
          <w:i/>
          <w:szCs w:val="24"/>
          <w:rFonts w:ascii="Times New Roman" w:cs="Times New Roman" w:hAnsi="Times New Roman"/>
        </w:rPr>
        <w:t>Pythian</w:t>
      </w:r>
      <w:r>
        <w:rPr>
          <w:sz w:val="24"/>
          <w:szCs w:val="24"/>
          <w:rFonts w:ascii="Times New Roman" w:cs="Times New Roman" w:hAnsi="Times New Roman"/>
        </w:rPr>
        <w:t xml:space="preserve"> 9.  Athena’s act of naming the </w:t>
      </w:r>
      <w:r>
        <w:rPr>
          <w:sz w:val="24"/>
          <w:i/>
          <w:szCs w:val="24"/>
          <w:rFonts w:ascii="Times New Roman" w:cs="Times New Roman" w:hAnsi="Times New Roman"/>
        </w:rPr>
        <w:t>polycephalus nomos</w:t>
      </w:r>
      <w:r>
        <w:rPr>
          <w:sz w:val="24"/>
          <w:szCs w:val="24"/>
          <w:rFonts w:ascii="Times New Roman" w:cs="Times New Roman" w:hAnsi="Times New Roman"/>
        </w:rPr>
        <w:t xml:space="preserve"> imparts to that melos some of the virtue exemplified by the mythic narrative to which the name refers.  In this way, Athena’s action is analogous to Pindar’s own use of myth in epinician.</w:t>
      </w:r>
    </w:p>
    <w:p>
      <w:pPr>
        <w:pStyle w:val="style0"/>
      </w:pPr>
      <w:r>
        <w:rPr>
          <w:sz w:val="24"/>
          <w:szCs w:val="24"/>
          <w:rFonts w:ascii="Times New Roman" w:cs="Times New Roman" w:hAnsi="Times New Roman"/>
        </w:rPr>
        <w:t xml:space="preserve"> </w:t>
      </w:r>
    </w:p>
    <w:p>
      <w:pPr>
        <w:pStyle w:val="style0"/>
        <w:ind w:hanging="720" w:left="720" w:right="0"/>
      </w:pPr>
      <w:r>
        <w:rPr>
          <w:sz w:val="24"/>
          <w:szCs w:val="24"/>
          <w:rFonts w:ascii="Times New Roman" w:cs="Times New Roman" w:hAnsi="Times New Roman"/>
        </w:rPr>
        <w:t xml:space="preserve">Clay, Jenny S., “Pindar's Twelfth Pythian: Reed and Bronze,” </w:t>
      </w:r>
      <w:r>
        <w:rPr>
          <w:sz w:val="24"/>
          <w:i/>
          <w:szCs w:val="24"/>
          <w:rFonts w:ascii="Times New Roman" w:cs="Times New Roman" w:hAnsi="Times New Roman"/>
        </w:rPr>
        <w:t>AJP</w:t>
      </w:r>
      <w:r>
        <w:rPr>
          <w:sz w:val="24"/>
          <w:szCs w:val="24"/>
          <w:rFonts w:ascii="Times New Roman" w:cs="Times New Roman" w:hAnsi="Times New Roman"/>
        </w:rPr>
        <w:t xml:space="preserve"> 113.4 (1992) 519-525.</w:t>
      </w:r>
    </w:p>
    <w:p>
      <w:pPr>
        <w:pStyle w:val="style0"/>
        <w:ind w:hanging="720" w:left="720" w:right="0"/>
      </w:pPr>
      <w:r>
        <w:rPr>
          <w:sz w:val="24"/>
          <w:szCs w:val="24"/>
          <w:rFonts w:ascii="Times New Roman" w:cs="Times New Roman" w:hAnsi="Times New Roman"/>
        </w:rPr>
        <w:t xml:space="preserve">Gentili, Bruno, </w:t>
      </w:r>
      <w:r>
        <w:rPr>
          <w:sz w:val="24"/>
          <w:i/>
          <w:szCs w:val="24"/>
          <w:rFonts w:ascii="Times New Roman" w:cs="Times New Roman" w:hAnsi="Times New Roman"/>
        </w:rPr>
        <w:t>Pindaro: Le pitiche</w:t>
      </w:r>
      <w:r>
        <w:rPr>
          <w:sz w:val="24"/>
          <w:szCs w:val="24"/>
          <w:rFonts w:ascii="Times New Roman" w:cs="Times New Roman" w:hAnsi="Times New Roman"/>
        </w:rPr>
        <w:t>, Milan, 1995.</w:t>
      </w:r>
    </w:p>
    <w:p>
      <w:pPr>
        <w:pStyle w:val="style0"/>
        <w:ind w:hanging="720" w:left="720" w:right="0"/>
      </w:pPr>
      <w:r>
        <w:rPr>
          <w:sz w:val="24"/>
          <w:szCs w:val="24"/>
          <w:rFonts w:ascii="Times New Roman" w:cs="Times New Roman" w:hAnsi="Times New Roman"/>
        </w:rPr>
        <w:t xml:space="preserve">Gentili, Bruno and Francesco Luisi, “La Pitica 12 di Pindaro e l’aulo di Mida,” </w:t>
      </w:r>
      <w:r>
        <w:rPr>
          <w:sz w:val="24"/>
          <w:i/>
          <w:szCs w:val="24"/>
          <w:rFonts w:ascii="Times New Roman" w:cs="Times New Roman" w:hAnsi="Times New Roman"/>
        </w:rPr>
        <w:t>QUCC</w:t>
      </w:r>
      <w:r>
        <w:rPr>
          <w:sz w:val="24"/>
          <w:szCs w:val="24"/>
          <w:rFonts w:ascii="Times New Roman" w:cs="Times New Roman" w:hAnsi="Times New Roman"/>
        </w:rPr>
        <w:t xml:space="preserve"> 49.1 (1995) 7-31.</w:t>
      </w:r>
    </w:p>
    <w:p>
      <w:pPr>
        <w:pStyle w:val="style0"/>
        <w:ind w:hanging="720" w:left="720" w:right="0"/>
      </w:pPr>
      <w:r>
        <w:rPr>
          <w:sz w:val="24"/>
          <w:szCs w:val="24"/>
          <w:rFonts w:ascii="Times New Roman" w:cs="Times New Roman" w:hAnsi="Times New Roman"/>
        </w:rPr>
        <w:t xml:space="preserve">Held, George F., “Weaving and Triumphal Shouting in Pindar, </w:t>
      </w:r>
      <w:r>
        <w:rPr>
          <w:sz w:val="24"/>
          <w:i/>
          <w:szCs w:val="24"/>
          <w:rFonts w:ascii="Times New Roman" w:cs="Times New Roman" w:hAnsi="Times New Roman"/>
        </w:rPr>
        <w:t>Pythian</w:t>
      </w:r>
      <w:r>
        <w:rPr>
          <w:sz w:val="24"/>
          <w:szCs w:val="24"/>
          <w:rFonts w:ascii="Times New Roman" w:cs="Times New Roman" w:hAnsi="Times New Roman"/>
        </w:rPr>
        <w:t xml:space="preserve"> 12.6-12,” </w:t>
      </w:r>
      <w:r>
        <w:rPr>
          <w:sz w:val="24"/>
          <w:i/>
          <w:szCs w:val="24"/>
          <w:rFonts w:ascii="Times New Roman" w:cs="Times New Roman" w:hAnsi="Times New Roman"/>
        </w:rPr>
        <w:t>CQ</w:t>
      </w:r>
      <w:r>
        <w:rPr>
          <w:sz w:val="24"/>
          <w:szCs w:val="24"/>
          <w:rFonts w:ascii="Times New Roman" w:cs="Times New Roman" w:hAnsi="Times New Roman"/>
        </w:rPr>
        <w:t xml:space="preserve"> 48.2 (1998) 380-8.</w:t>
      </w:r>
    </w:p>
    <w:p>
      <w:pPr>
        <w:pStyle w:val="style0"/>
        <w:ind w:hanging="720" w:left="720" w:right="0"/>
      </w:pPr>
      <w:r>
        <w:rPr>
          <w:sz w:val="24"/>
          <w:szCs w:val="24"/>
          <w:rFonts w:ascii="Times New Roman" w:cs="Times New Roman" w:hAnsi="Times New Roman"/>
        </w:rPr>
        <w:t xml:space="preserve">Köhnken, Adolf, </w:t>
      </w:r>
      <w:r>
        <w:rPr>
          <w:sz w:val="24"/>
          <w:i/>
          <w:szCs w:val="24"/>
          <w:rFonts w:ascii="Times New Roman" w:cs="Times New Roman" w:hAnsi="Times New Roman"/>
        </w:rPr>
        <w:t>Die Funktion des Mythos bei Pindar</w:t>
      </w:r>
      <w:r>
        <w:rPr>
          <w:sz w:val="24"/>
          <w:szCs w:val="24"/>
          <w:rFonts w:ascii="Times New Roman" w:cs="Times New Roman" w:hAnsi="Times New Roman"/>
        </w:rPr>
        <w:t>, Berlin, 1971.</w:t>
      </w:r>
    </w:p>
    <w:p>
      <w:pPr>
        <w:pStyle w:val="style0"/>
        <w:ind w:hanging="720" w:left="720" w:right="0"/>
      </w:pPr>
      <w:r>
        <w:rPr>
          <w:sz w:val="24"/>
          <w:szCs w:val="24"/>
          <w:rFonts w:ascii="Times New Roman" w:cs="Times New Roman" w:hAnsi="Times New Roman"/>
        </w:rPr>
        <w:t xml:space="preserve">Segal, Charles, “Perseus and the Gorgon: Pindar </w:t>
      </w:r>
      <w:r>
        <w:rPr>
          <w:sz w:val="24"/>
          <w:i/>
          <w:szCs w:val="24"/>
          <w:rFonts w:ascii="Times New Roman" w:cs="Times New Roman" w:hAnsi="Times New Roman"/>
        </w:rPr>
        <w:t>Pythian</w:t>
      </w:r>
      <w:r>
        <w:rPr>
          <w:sz w:val="24"/>
          <w:szCs w:val="24"/>
          <w:rFonts w:ascii="Times New Roman" w:cs="Times New Roman" w:hAnsi="Times New Roman"/>
        </w:rPr>
        <w:t xml:space="preserve"> 12.9-12 Reconsidered,” </w:t>
      </w:r>
      <w:r>
        <w:rPr>
          <w:sz w:val="24"/>
          <w:i/>
          <w:szCs w:val="24"/>
          <w:rFonts w:ascii="Times New Roman" w:cs="Times New Roman" w:hAnsi="Times New Roman"/>
        </w:rPr>
        <w:t>AJP</w:t>
      </w:r>
      <w:r>
        <w:rPr>
          <w:sz w:val="24"/>
          <w:szCs w:val="24"/>
          <w:rFonts w:ascii="Times New Roman" w:cs="Times New Roman" w:hAnsi="Times New Roman"/>
        </w:rPr>
        <w:t xml:space="preserve"> 116.1 (1995) 7-17</w:t>
      </w:r>
    </w:p>
    <w:p>
      <w:pPr>
        <w:pStyle w:val="style0"/>
      </w:pPr>
      <w:r>
        <w:rPr/>
      </w:r>
    </w:p>
    <w:sectPr>
      <w:formProt w:val="false"/>
      <w:pgSz w:h="15840" w:w="12240"/>
      <w:docGrid w:charSpace="0" w:linePitch="360" w:type="default"/>
      <w:textDirection w:val="lrTb"/>
      <w:pgNumType w:fmt="decimal"/>
      <w:type w:val="nextPage"/>
      <w:pgMar w:bottom="1440" w:left="1440" w:right="1440" w:top="144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auto"/>
      <w:sz w:val="24"/>
      <w:szCs w:val="24"/>
      <w:rFonts w:ascii="Liberation Serif" w:cs="FreeSans" w:eastAsia="Droid Sans Fallback" w:hAnsi="Liberation Serif"/>
      <w:lang w:bidi="hi-IN" w:eastAsia="zh-CN" w:val="en-US"/>
    </w:rPr>
  </w:style>
  <w:style w:styleId="style15" w:type="character">
    <w:name w:val="Default Paragraph Font"/>
    <w:next w:val="style15"/>
    <w:rPr/>
  </w:style>
  <w:style w:styleId="style16" w:type="paragraph">
    <w:name w:val="Heading"/>
    <w:basedOn w:val="style0"/>
    <w:next w:val="style17"/>
    <w:pPr>
      <w:keepNext/>
      <w:spacing w:after="120" w:before="240"/>
    </w:pPr>
    <w:rPr>
      <w:sz w:val="28"/>
      <w:szCs w:val="28"/>
      <w:rFonts w:ascii="Liberation Sans" w:cs="FreeSans" w:eastAsia="Droid Sans Fallback" w:hAnsi="Liberation Sans"/>
    </w:rPr>
  </w:style>
  <w:style w:styleId="style17" w:type="paragraph">
    <w:name w:val="Text body"/>
    <w:basedOn w:val="style0"/>
    <w:next w:val="style17"/>
    <w:pPr>
      <w:spacing w:after="120" w:before="0"/>
    </w:pPr>
    <w:rPr/>
  </w:style>
  <w:style w:styleId="style18" w:type="paragraph">
    <w:name w:val="List"/>
    <w:basedOn w:val="style17"/>
    <w:next w:val="style18"/>
    <w:pPr/>
    <w:rPr>
      <w:rFonts w:cs="FreeSans"/>
    </w:rPr>
  </w:style>
  <w:style w:styleId="style19" w:type="paragraph">
    <w:name w:val="Caption"/>
    <w:basedOn w:val="style0"/>
    <w:next w:val="style19"/>
    <w:pPr>
      <w:suppressLineNumbers/>
      <w:spacing w:after="120" w:before="120"/>
    </w:pPr>
    <w:rPr>
      <w:sz w:val="24"/>
      <w:i/>
      <w:szCs w:val="24"/>
      <w:iCs/>
      <w:rFonts w:cs="FreeSans"/>
    </w:rPr>
  </w:style>
  <w:style w:styleId="style20" w:type="paragraph">
    <w:name w:val="Index"/>
    <w:basedOn w:val="style0"/>
    <w:next w:val="style20"/>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1CD4059E</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2011-09-24T04:45:00.00Z</dcterms:created>
  <dc:creator>Sienkewicz, Thomas J.</dc:creator>
  <cp:lastModifiedBy>Sienkewicz, Thomas J.</cp:lastModifiedBy>
  <dcterms:modified xsi:type="dcterms:W3CDTF">2011-09-24T04:45:00.00Z</dcterms:modified>
  <cp:revision>2</cp:revision>
</cp:coreProperties>
</file>