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FD" w:rsidRPr="00034673" w:rsidRDefault="00044119" w:rsidP="00003001">
      <w:pPr>
        <w:jc w:val="center"/>
      </w:pPr>
      <w:r>
        <w:t xml:space="preserve">Turning Tables:  </w:t>
      </w:r>
      <w:r w:rsidR="00DA2999" w:rsidRPr="00034673">
        <w:t xml:space="preserve">Juno’s Lyric Reconciliation in Horace </w:t>
      </w:r>
      <w:r w:rsidRPr="00044119">
        <w:rPr>
          <w:i/>
        </w:rPr>
        <w:t>C</w:t>
      </w:r>
      <w:r>
        <w:t>.</w:t>
      </w:r>
      <w:r w:rsidR="00DA2999" w:rsidRPr="00034673">
        <w:t>III.3</w:t>
      </w:r>
    </w:p>
    <w:p w:rsidR="00003001" w:rsidRDefault="00003001" w:rsidP="00003001">
      <w:pPr>
        <w:jc w:val="center"/>
      </w:pPr>
      <w:bookmarkStart w:id="0" w:name="_GoBack"/>
      <w:bookmarkEnd w:id="0"/>
    </w:p>
    <w:p w:rsidR="008F79E8" w:rsidRDefault="008F79E8" w:rsidP="002924EC">
      <w:pPr>
        <w:ind w:firstLine="720"/>
      </w:pPr>
      <w:r w:rsidRPr="00EC0BD0">
        <w:t xml:space="preserve">Horace’s </w:t>
      </w:r>
      <w:r w:rsidRPr="00DA42FA">
        <w:rPr>
          <w:i/>
        </w:rPr>
        <w:t>C.</w:t>
      </w:r>
      <w:r w:rsidRPr="00EC0BD0">
        <w:t>III.3 represents a lesson in Epicurean therapy</w:t>
      </w:r>
      <w:r w:rsidR="000B7A2C">
        <w:t>:</w:t>
      </w:r>
      <w:r>
        <w:t xml:space="preserve"> </w:t>
      </w:r>
      <w:r w:rsidR="000B7A2C">
        <w:t>Juno resolves her anger according to</w:t>
      </w:r>
      <w:r w:rsidRPr="00EC0BD0">
        <w:t xml:space="preserve"> the precepts of ‘natural’ anger in Philodemus’ </w:t>
      </w:r>
      <w:r w:rsidRPr="00EC0BD0">
        <w:rPr>
          <w:i/>
        </w:rPr>
        <w:t>Peri Orges</w:t>
      </w:r>
      <w:r>
        <w:t xml:space="preserve">.  This interpretation of the poem as </w:t>
      </w:r>
      <w:r w:rsidR="00931475">
        <w:t>therapeutic</w:t>
      </w:r>
      <w:r>
        <w:t xml:space="preserve"> </w:t>
      </w:r>
      <w:r w:rsidR="000B7A2C">
        <w:t xml:space="preserve">brings together </w:t>
      </w:r>
      <w:r>
        <w:t xml:space="preserve">the seemingly disparate parts of the </w:t>
      </w:r>
      <w:r w:rsidR="00C209B7">
        <w:t>poem, which</w:t>
      </w:r>
      <w:r>
        <w:t xml:space="preserve"> have previously defied cohes</w:t>
      </w:r>
      <w:r w:rsidR="00931475">
        <w:t>ive interpretation.</w:t>
      </w:r>
    </w:p>
    <w:p w:rsidR="00B6571E" w:rsidRDefault="00404F04" w:rsidP="00404F04">
      <w:pPr>
        <w:ind w:firstLine="720"/>
      </w:pPr>
      <w:r>
        <w:t xml:space="preserve">This poem appears to have four parts: an opening exemplum about a steadfast man </w:t>
      </w:r>
      <w:r w:rsidRPr="00EC0BD0">
        <w:t>(</w:t>
      </w:r>
      <w:r w:rsidRPr="00DA42FA">
        <w:rPr>
          <w:i/>
        </w:rPr>
        <w:t>C.</w:t>
      </w:r>
      <w:r>
        <w:t xml:space="preserve">III.3.1-8), a divine banquet with apotheosized attendees </w:t>
      </w:r>
      <w:r w:rsidRPr="00EC0BD0">
        <w:t>(</w:t>
      </w:r>
      <w:r w:rsidRPr="00DA42FA">
        <w:rPr>
          <w:i/>
        </w:rPr>
        <w:t>C.</w:t>
      </w:r>
      <w:r>
        <w:t>III.3.9-18a), Juno’s speech accepting</w:t>
      </w:r>
      <w:r w:rsidRPr="00EC0BD0">
        <w:t xml:space="preserve"> </w:t>
      </w:r>
      <w:r>
        <w:t>Romulus</w:t>
      </w:r>
      <w:r w:rsidRPr="00EC0BD0">
        <w:t xml:space="preserve"> on the condition that Troy remain buried in the pa</w:t>
      </w:r>
      <w:r>
        <w:t xml:space="preserve">st </w:t>
      </w:r>
      <w:r w:rsidRPr="00EC0BD0">
        <w:t>(</w:t>
      </w:r>
      <w:r w:rsidRPr="00DA42FA">
        <w:rPr>
          <w:i/>
        </w:rPr>
        <w:t>C.</w:t>
      </w:r>
      <w:r>
        <w:t xml:space="preserve">III.3.18b-68), and a final strophe in which Horace </w:t>
      </w:r>
      <w:r w:rsidRPr="00EC0BD0">
        <w:t xml:space="preserve">rebukes the lyric muse </w:t>
      </w:r>
      <w:r>
        <w:t>for attempting to suit epi</w:t>
      </w:r>
      <w:r w:rsidRPr="00EC0BD0">
        <w:t>c ideas into lyric (</w:t>
      </w:r>
      <w:r w:rsidRPr="00DA42FA">
        <w:rPr>
          <w:i/>
        </w:rPr>
        <w:t>C.</w:t>
      </w:r>
      <w:r w:rsidRPr="00EC0BD0">
        <w:t xml:space="preserve">III.3.69-72). </w:t>
      </w:r>
      <w:r>
        <w:t xml:space="preserve"> </w:t>
      </w:r>
      <w:r w:rsidR="00B12D3C" w:rsidRPr="00EC0BD0">
        <w:t>In o</w:t>
      </w:r>
      <w:r w:rsidR="00692765">
        <w:t xml:space="preserve">rder to reconcile </w:t>
      </w:r>
      <w:r w:rsidR="000B7A2C">
        <w:t>these varied vignettes</w:t>
      </w:r>
      <w:r w:rsidR="00B12D3C" w:rsidRPr="00EC0BD0">
        <w:t xml:space="preserve">, critics have chosen </w:t>
      </w:r>
      <w:r w:rsidR="00692765">
        <w:t>either to</w:t>
      </w:r>
      <w:r w:rsidR="00931475">
        <w:t xml:space="preserve"> </w:t>
      </w:r>
      <w:r w:rsidR="00692765">
        <w:t xml:space="preserve">interpret the </w:t>
      </w:r>
      <w:r w:rsidR="000B7A2C">
        <w:t>ode broadly with little attention to details</w:t>
      </w:r>
      <w:r w:rsidR="00692765">
        <w:t xml:space="preserve"> (</w:t>
      </w:r>
      <w:r w:rsidR="000F2B96">
        <w:t>Plü</w:t>
      </w:r>
      <w:r w:rsidRPr="00EC0BD0">
        <w:t>ss</w:t>
      </w:r>
      <w:r w:rsidR="000F2B96">
        <w:t>, 1882;</w:t>
      </w:r>
      <w:r>
        <w:t xml:space="preserve"> </w:t>
      </w:r>
      <w:r w:rsidRPr="00EC0BD0">
        <w:t>Reckford</w:t>
      </w:r>
      <w:r w:rsidR="000F2B96">
        <w:t>, 1969;</w:t>
      </w:r>
      <w:r>
        <w:t xml:space="preserve"> </w:t>
      </w:r>
      <w:r w:rsidRPr="00EC0BD0">
        <w:t>Williams</w:t>
      </w:r>
      <w:r w:rsidR="000F2B96">
        <w:t>, 1969</w:t>
      </w:r>
      <w:r w:rsidR="00692765">
        <w:t xml:space="preserve">), </w:t>
      </w:r>
      <w:r w:rsidR="000B7A2C">
        <w:t xml:space="preserve">or to </w:t>
      </w:r>
      <w:r w:rsidR="00B12D3C" w:rsidRPr="00EC0BD0">
        <w:t xml:space="preserve">focus entirely upon </w:t>
      </w:r>
      <w:r w:rsidR="00B6571E">
        <w:t>Augustus’</w:t>
      </w:r>
      <w:r w:rsidR="00B12D3C" w:rsidRPr="00EC0BD0">
        <w:t xml:space="preserve"> appearance in line 11</w:t>
      </w:r>
      <w:r w:rsidR="002924EC">
        <w:t>,</w:t>
      </w:r>
      <w:r w:rsidR="00B6571E">
        <w:t xml:space="preserve"> </w:t>
      </w:r>
      <w:r w:rsidR="0027185E">
        <w:t>coloring</w:t>
      </w:r>
      <w:r w:rsidR="002924EC">
        <w:t xml:space="preserve"> the ode as </w:t>
      </w:r>
      <w:r w:rsidR="00B12D3C" w:rsidRPr="00EC0BD0">
        <w:t>political panegyric</w:t>
      </w:r>
      <w:r w:rsidR="008F79E8">
        <w:t>.</w:t>
      </w:r>
      <w:r w:rsidR="00692765">
        <w:t xml:space="preserve">  These approaches </w:t>
      </w:r>
      <w:r w:rsidR="000B7A2C">
        <w:t>tend to divorce</w:t>
      </w:r>
      <w:r w:rsidR="002924EC">
        <w:t xml:space="preserve"> </w:t>
      </w:r>
      <w:r w:rsidR="008F79E8" w:rsidRPr="00EC0BD0">
        <w:t>Juno’s sp</w:t>
      </w:r>
      <w:r w:rsidR="002924EC">
        <w:t xml:space="preserve">eech and </w:t>
      </w:r>
      <w:r w:rsidR="008F79E8" w:rsidRPr="00EC0BD0">
        <w:t xml:space="preserve">the </w:t>
      </w:r>
      <w:r w:rsidR="008F79E8" w:rsidRPr="00C532A9">
        <w:rPr>
          <w:i/>
        </w:rPr>
        <w:t>recusatio</w:t>
      </w:r>
      <w:r w:rsidR="008F79E8" w:rsidRPr="00EC0BD0">
        <w:t xml:space="preserve"> at the end</w:t>
      </w:r>
      <w:r w:rsidR="000B7A2C">
        <w:t xml:space="preserve"> from the whole of the poem</w:t>
      </w:r>
      <w:r w:rsidR="002177C8">
        <w:t>.</w:t>
      </w:r>
      <w:r w:rsidR="008F79E8" w:rsidRPr="00EC0BD0">
        <w:t xml:space="preserve"> </w:t>
      </w:r>
    </w:p>
    <w:p w:rsidR="00B12D3C" w:rsidRPr="00EC0BD0" w:rsidRDefault="00A61603" w:rsidP="00A61603">
      <w:pPr>
        <w:ind w:firstLine="720"/>
      </w:pPr>
      <w:r>
        <w:t xml:space="preserve">An overlooked detail is </w:t>
      </w:r>
      <w:r w:rsidR="002924EC">
        <w:t xml:space="preserve">Horace’s </w:t>
      </w:r>
      <w:r>
        <w:t xml:space="preserve">use of </w:t>
      </w:r>
      <w:r w:rsidR="00C209B7">
        <w:t>demonstratives</w:t>
      </w:r>
      <w:r>
        <w:t xml:space="preserve"> to form a structured </w:t>
      </w:r>
      <w:r w:rsidR="002924EC">
        <w:t>argument</w:t>
      </w:r>
      <w:r w:rsidR="002177C8">
        <w:t>,</w:t>
      </w:r>
      <w:r w:rsidR="002924EC">
        <w:t xml:space="preserve"> </w:t>
      </w:r>
      <w:r w:rsidR="000B7A2C">
        <w:t>unifying</w:t>
      </w:r>
      <w:r>
        <w:t xml:space="preserve"> </w:t>
      </w:r>
      <w:r w:rsidR="00B12D3C">
        <w:t xml:space="preserve">the poem and </w:t>
      </w:r>
      <w:r w:rsidR="000B7A2C">
        <w:t xml:space="preserve">teaching </w:t>
      </w:r>
      <w:r w:rsidR="00B12D3C">
        <w:t>reader</w:t>
      </w:r>
      <w:r w:rsidR="00BC5A55">
        <w:t>s</w:t>
      </w:r>
      <w:r w:rsidR="00B12D3C">
        <w:t xml:space="preserve"> how to assuage anger through</w:t>
      </w:r>
      <w:r w:rsidR="00BC5A55">
        <w:t xml:space="preserve"> Epicurean</w:t>
      </w:r>
      <w:r w:rsidR="00B12D3C">
        <w:t xml:space="preserve"> therapy</w:t>
      </w:r>
      <w:r w:rsidR="00B12D3C" w:rsidRPr="00EC0BD0">
        <w:t xml:space="preserve">.  </w:t>
      </w:r>
      <w:r w:rsidR="00B12D3C">
        <w:t xml:space="preserve">The </w:t>
      </w:r>
      <w:r w:rsidR="00BC5A55">
        <w:t>opening</w:t>
      </w:r>
      <w:r w:rsidR="00B12D3C" w:rsidRPr="00EC0BD0">
        <w:t xml:space="preserve"> exemplum represents </w:t>
      </w:r>
      <w:r w:rsidR="002924EC">
        <w:t>an</w:t>
      </w:r>
      <w:r w:rsidR="00B12D3C" w:rsidRPr="00EC0BD0">
        <w:t xml:space="preserve"> ideal </w:t>
      </w:r>
      <w:r w:rsidR="002924EC" w:rsidRPr="00EC0BD0">
        <w:t>(</w:t>
      </w:r>
      <w:r w:rsidR="002924EC" w:rsidRPr="00EC0BD0">
        <w:rPr>
          <w:i/>
        </w:rPr>
        <w:t>hac arte</w:t>
      </w:r>
      <w:r w:rsidR="000B7A2C">
        <w:t>, v.13</w:t>
      </w:r>
      <w:r w:rsidR="002924EC" w:rsidRPr="00EC0BD0">
        <w:t xml:space="preserve">) </w:t>
      </w:r>
      <w:r w:rsidR="00B12D3C" w:rsidRPr="00EC0BD0">
        <w:t xml:space="preserve">through which mortals, namely Pollux and Hercules, </w:t>
      </w:r>
      <w:r>
        <w:t>become divine</w:t>
      </w:r>
      <w:r w:rsidR="00B12D3C" w:rsidRPr="00EC0BD0">
        <w:t>.  Horace subtly</w:t>
      </w:r>
      <w:r w:rsidR="00BC5A55">
        <w:t xml:space="preserve"> enforces his argument</w:t>
      </w:r>
      <w:r w:rsidR="00B12D3C" w:rsidRPr="00EC0BD0">
        <w:t xml:space="preserve"> by repeating </w:t>
      </w:r>
      <w:r w:rsidR="00B12D3C" w:rsidRPr="00EC0BD0">
        <w:rPr>
          <w:i/>
        </w:rPr>
        <w:t>hac</w:t>
      </w:r>
      <w:r w:rsidR="00B12D3C" w:rsidRPr="00EC0BD0">
        <w:t xml:space="preserve"> in the subsequent lines</w:t>
      </w:r>
      <w:r w:rsidR="002924EC">
        <w:t>,</w:t>
      </w:r>
      <w:r w:rsidR="00B12D3C" w:rsidRPr="00EC0BD0">
        <w:t xml:space="preserve"> </w:t>
      </w:r>
      <w:r w:rsidR="00E16225">
        <w:t>applied</w:t>
      </w:r>
      <w:r w:rsidR="00B12D3C" w:rsidRPr="00EC0BD0">
        <w:t xml:space="preserve"> to Bacchus and Quirinus (</w:t>
      </w:r>
      <w:r w:rsidR="00B12D3C" w:rsidRPr="00DA42FA">
        <w:rPr>
          <w:i/>
        </w:rPr>
        <w:t>C.</w:t>
      </w:r>
      <w:r w:rsidR="00B12D3C" w:rsidRPr="00EC0BD0">
        <w:t xml:space="preserve">III.3.13 and 15).  Near the end of Juno’s speech, Horace revives </w:t>
      </w:r>
      <w:r w:rsidR="00B12D3C" w:rsidRPr="00EC0BD0">
        <w:rPr>
          <w:i/>
        </w:rPr>
        <w:t>hac</w:t>
      </w:r>
      <w:r w:rsidR="00C209B7">
        <w:t xml:space="preserve">, which modifies </w:t>
      </w:r>
      <w:r w:rsidR="00B12D3C" w:rsidRPr="00EC0BD0">
        <w:rPr>
          <w:i/>
        </w:rPr>
        <w:t>lege</w:t>
      </w:r>
      <w:r w:rsidR="00B12D3C" w:rsidRPr="00EC0BD0">
        <w:t xml:space="preserve"> (</w:t>
      </w:r>
      <w:r w:rsidR="00B12D3C" w:rsidRPr="00DA42FA">
        <w:rPr>
          <w:i/>
        </w:rPr>
        <w:t>C.</w:t>
      </w:r>
      <w:r w:rsidR="00B12D3C" w:rsidRPr="00EC0BD0">
        <w:t xml:space="preserve">III.3.58).  </w:t>
      </w:r>
      <w:r w:rsidR="00C209B7">
        <w:t xml:space="preserve">A later use of </w:t>
      </w:r>
      <w:r w:rsidR="00C209B7">
        <w:rPr>
          <w:i/>
        </w:rPr>
        <w:t>h</w:t>
      </w:r>
      <w:r w:rsidR="00E16225" w:rsidRPr="00E16225">
        <w:rPr>
          <w:i/>
        </w:rPr>
        <w:t>oc</w:t>
      </w:r>
      <w:r w:rsidR="00931475">
        <w:t xml:space="preserve"> </w:t>
      </w:r>
      <w:r w:rsidR="00E16225">
        <w:t>sums up</w:t>
      </w:r>
      <w:r w:rsidR="00B12D3C" w:rsidRPr="00EC0BD0">
        <w:t xml:space="preserve"> not only Juno’s speech, but </w:t>
      </w:r>
      <w:r w:rsidR="00931475">
        <w:t>the</w:t>
      </w:r>
      <w:r w:rsidR="00B12D3C" w:rsidRPr="00EC0BD0">
        <w:t xml:space="preserve"> entire poem, </w:t>
      </w:r>
      <w:r w:rsidR="00931475">
        <w:t>as Horace claims</w:t>
      </w:r>
      <w:r w:rsidR="00B12D3C" w:rsidRPr="00EC0BD0">
        <w:t xml:space="preserve"> this </w:t>
      </w:r>
      <w:r w:rsidR="00931475">
        <w:t xml:space="preserve">subject </w:t>
      </w:r>
      <w:r w:rsidR="00B12D3C" w:rsidRPr="00EC0BD0">
        <w:t>will not suit a jovial lyre (</w:t>
      </w:r>
      <w:r w:rsidR="00B12D3C" w:rsidRPr="00DA42FA">
        <w:rPr>
          <w:i/>
        </w:rPr>
        <w:t>C.</w:t>
      </w:r>
      <w:r w:rsidR="00B12D3C" w:rsidRPr="00EC0BD0">
        <w:t xml:space="preserve">III.3.69). </w:t>
      </w:r>
      <w:r w:rsidR="00931475">
        <w:rPr>
          <w:i/>
        </w:rPr>
        <w:t xml:space="preserve"> </w:t>
      </w:r>
      <w:r w:rsidR="00B12D3C" w:rsidRPr="00EC0BD0">
        <w:t xml:space="preserve">This small demonstrative links the poem into a whole, allowing all four disparate parts to flow together in a structured argument. </w:t>
      </w:r>
    </w:p>
    <w:p w:rsidR="00B22E28" w:rsidRDefault="00B6571E" w:rsidP="002924EC">
      <w:pPr>
        <w:ind w:firstLine="720"/>
      </w:pPr>
      <w:r>
        <w:t xml:space="preserve">Through this argument, Horace in </w:t>
      </w:r>
      <w:r w:rsidR="008F79E8" w:rsidRPr="005C1951">
        <w:rPr>
          <w:i/>
          <w:iCs/>
        </w:rPr>
        <w:t>C</w:t>
      </w:r>
      <w:r w:rsidR="008F79E8" w:rsidRPr="005C1951">
        <w:t xml:space="preserve">. III.3 </w:t>
      </w:r>
      <w:r w:rsidR="000B7A2C">
        <w:t>presents</w:t>
      </w:r>
      <w:r w:rsidR="000B7A2C" w:rsidRPr="005C1951">
        <w:t xml:space="preserve"> </w:t>
      </w:r>
      <w:r w:rsidR="008F79E8" w:rsidRPr="005C1951">
        <w:t xml:space="preserve">the precepts in Philodemus’ </w:t>
      </w:r>
      <w:r w:rsidR="008F79E8" w:rsidRPr="005C1951">
        <w:rPr>
          <w:i/>
          <w:iCs/>
        </w:rPr>
        <w:t>Peri Orges</w:t>
      </w:r>
      <w:r w:rsidR="008F79E8" w:rsidRPr="005C1951">
        <w:t xml:space="preserve"> concerning “good” or “legitimate” anger and how to resolve it. To overcome anger, according to Philodemus, one must view and understand the consequences of the emotion (</w:t>
      </w:r>
      <w:r w:rsidR="008F79E8" w:rsidRPr="005C1951">
        <w:rPr>
          <w:i/>
          <w:iCs/>
        </w:rPr>
        <w:t>Peri Orges</w:t>
      </w:r>
      <w:r w:rsidR="008F79E8" w:rsidRPr="005C1951">
        <w:t xml:space="preserve"> col. i.21-24).  </w:t>
      </w:r>
      <w:r w:rsidR="00B25667" w:rsidRPr="00C209B7">
        <w:t xml:space="preserve">Horace’s choice of </w:t>
      </w:r>
      <w:r w:rsidR="00931475" w:rsidRPr="00C209B7">
        <w:t xml:space="preserve">Juno as </w:t>
      </w:r>
      <w:r w:rsidR="00B25667" w:rsidRPr="00C209B7">
        <w:t xml:space="preserve">speaker and her diction prompt the reader to recall epic anger in the </w:t>
      </w:r>
      <w:r w:rsidR="00B25667" w:rsidRPr="00C209B7">
        <w:rPr>
          <w:i/>
        </w:rPr>
        <w:t>Aeneid</w:t>
      </w:r>
      <w:r w:rsidR="00B25667" w:rsidRPr="00C209B7">
        <w:t xml:space="preserve"> (</w:t>
      </w:r>
      <w:r w:rsidR="00404F04" w:rsidRPr="00C209B7">
        <w:t xml:space="preserve">Nisbet and </w:t>
      </w:r>
      <w:r w:rsidR="000F2B96" w:rsidRPr="00C209B7">
        <w:t xml:space="preserve">Rudd, </w:t>
      </w:r>
      <w:r w:rsidR="00404F04" w:rsidRPr="00C209B7">
        <w:t>2004</w:t>
      </w:r>
      <w:r w:rsidR="00B25667" w:rsidRPr="00C209B7">
        <w:t xml:space="preserve">).  </w:t>
      </w:r>
      <w:r w:rsidR="008F79E8" w:rsidRPr="00C209B7">
        <w:t xml:space="preserve">Horace corrects Juno’s anger here in </w:t>
      </w:r>
      <w:r w:rsidR="008F79E8" w:rsidRPr="00C209B7">
        <w:rPr>
          <w:i/>
          <w:iCs/>
        </w:rPr>
        <w:t>C.</w:t>
      </w:r>
      <w:r w:rsidR="008F79E8" w:rsidRPr="00C209B7">
        <w:t xml:space="preserve"> III.3 in such a way that he promotes the Roman state and allows her to come to </w:t>
      </w:r>
      <w:r w:rsidR="000B7A2C">
        <w:t xml:space="preserve">release </w:t>
      </w:r>
      <w:r w:rsidR="008F79E8" w:rsidRPr="00C209B7">
        <w:t>her resentment.  She calls the war settled (</w:t>
      </w:r>
      <w:r w:rsidR="008F79E8" w:rsidRPr="00C209B7">
        <w:rPr>
          <w:i/>
          <w:iCs/>
        </w:rPr>
        <w:t>C</w:t>
      </w:r>
      <w:r w:rsidR="008F79E8" w:rsidRPr="00C209B7">
        <w:t>. III.3.30a) and promises</w:t>
      </w:r>
      <w:r w:rsidR="008F79E8" w:rsidRPr="005C1951">
        <w:t xml:space="preserve"> to </w:t>
      </w:r>
      <w:r w:rsidR="008F79E8">
        <w:t>forget</w:t>
      </w:r>
      <w:r w:rsidR="008F79E8" w:rsidRPr="005C1951">
        <w:t xml:space="preserve"> her weighty anger and</w:t>
      </w:r>
      <w:r w:rsidR="008F79E8">
        <w:t xml:space="preserve"> forgive</w:t>
      </w:r>
      <w:r w:rsidR="008F79E8" w:rsidRPr="005C1951">
        <w:t xml:space="preserve"> Romulus (</w:t>
      </w:r>
      <w:r w:rsidR="008F79E8" w:rsidRPr="005C1951">
        <w:rPr>
          <w:i/>
          <w:iCs/>
        </w:rPr>
        <w:t>C</w:t>
      </w:r>
      <w:r w:rsidR="008F79E8" w:rsidRPr="005C1951">
        <w:t xml:space="preserve">. III.3.30b-33a).  </w:t>
      </w:r>
    </w:p>
    <w:p w:rsidR="00F96B7D" w:rsidRDefault="00931475" w:rsidP="002924EC">
      <w:pPr>
        <w:ind w:firstLine="720"/>
        <w:rPr>
          <w:i/>
          <w:iCs/>
        </w:rPr>
      </w:pPr>
      <w:r>
        <w:t xml:space="preserve">Thus, </w:t>
      </w:r>
      <w:r w:rsidR="008F79E8" w:rsidRPr="005C1951">
        <w:t>the ode becomes an exemplum of how to overcome anger, which in turn allows the “steadfast man” at the beginning of the lyric to achieve Epicurean</w:t>
      </w:r>
      <w:r>
        <w:t xml:space="preserve"> </w:t>
      </w:r>
      <w:r w:rsidR="00C209B7">
        <w:rPr>
          <w:i/>
        </w:rPr>
        <w:t>atarax</w:t>
      </w:r>
      <w:r w:rsidRPr="00931475">
        <w:rPr>
          <w:i/>
        </w:rPr>
        <w:t>ia</w:t>
      </w:r>
      <w:r w:rsidR="008F79E8" w:rsidRPr="005C1951">
        <w:t xml:space="preserve">.  </w:t>
      </w:r>
      <w:r w:rsidR="008F79E8" w:rsidRPr="005C1951">
        <w:rPr>
          <w:i/>
          <w:iCs/>
        </w:rPr>
        <w:t>C</w:t>
      </w:r>
      <w:r>
        <w:t>. III.3 then rewrites Juno’s anger of the</w:t>
      </w:r>
      <w:r w:rsidR="008F79E8" w:rsidRPr="005C1951">
        <w:t xml:space="preserve"> </w:t>
      </w:r>
      <w:r w:rsidR="008F79E8" w:rsidRPr="005C1951">
        <w:rPr>
          <w:i/>
          <w:iCs/>
        </w:rPr>
        <w:t>Aeneid</w:t>
      </w:r>
      <w:r w:rsidR="008F79E8" w:rsidRPr="005C1951">
        <w:t xml:space="preserve"> in the lyric mode as an exemplum, a representation of the process described in the </w:t>
      </w:r>
      <w:r w:rsidR="008F79E8" w:rsidRPr="005C1951">
        <w:rPr>
          <w:i/>
          <w:iCs/>
        </w:rPr>
        <w:t>Peri Orges</w:t>
      </w:r>
      <w:r w:rsidR="008F79E8" w:rsidRPr="002177C8">
        <w:rPr>
          <w:iCs/>
        </w:rPr>
        <w:t>.</w:t>
      </w:r>
      <w:r w:rsidR="002177C8">
        <w:rPr>
          <w:iCs/>
        </w:rPr>
        <w:t xml:space="preserve"> </w:t>
      </w:r>
      <w:r w:rsidR="00B22E28" w:rsidRPr="002177C8">
        <w:t xml:space="preserve"> </w:t>
      </w:r>
      <w:r w:rsidR="00B22E28" w:rsidRPr="005C1951">
        <w:t xml:space="preserve">Horace’s </w:t>
      </w:r>
      <w:r w:rsidR="00B22E28" w:rsidRPr="00931475">
        <w:rPr>
          <w:i/>
        </w:rPr>
        <w:t>recusatio</w:t>
      </w:r>
      <w:r w:rsidR="00B22E28" w:rsidRPr="005C1951">
        <w:t xml:space="preserve"> in the final stanza</w:t>
      </w:r>
      <w:r w:rsidR="00B22E28">
        <w:t>, instead of being a poorly attached appendage,</w:t>
      </w:r>
      <w:r w:rsidR="002177C8">
        <w:t xml:space="preserve"> </w:t>
      </w:r>
      <w:r w:rsidR="00B22E28">
        <w:t>reinforces the whole</w:t>
      </w:r>
      <w:r w:rsidR="002177C8">
        <w:t>.</w:t>
      </w:r>
    </w:p>
    <w:p w:rsidR="00B25667" w:rsidRDefault="00B25667" w:rsidP="00B25667">
      <w:pPr>
        <w:spacing w:line="480" w:lineRule="auto"/>
        <w:ind w:firstLine="720"/>
        <w:rPr>
          <w:iCs/>
        </w:rPr>
      </w:pPr>
    </w:p>
    <w:p w:rsidR="00B04459" w:rsidRDefault="00931475" w:rsidP="00931475">
      <w:pPr>
        <w:tabs>
          <w:tab w:val="right" w:pos="8640"/>
        </w:tabs>
        <w:spacing w:line="480" w:lineRule="auto"/>
        <w:rPr>
          <w:iCs/>
        </w:rPr>
      </w:pPr>
      <w:r>
        <w:rPr>
          <w:iCs/>
        </w:rPr>
        <w:t>References</w:t>
      </w:r>
      <w:r w:rsidR="00B25667">
        <w:rPr>
          <w:iCs/>
        </w:rPr>
        <w:t>:</w:t>
      </w:r>
    </w:p>
    <w:p w:rsidR="00B25667" w:rsidRPr="005C1951" w:rsidRDefault="00AA1FF0" w:rsidP="00AA1FF0">
      <w:pPr>
        <w:widowControl w:val="0"/>
        <w:autoSpaceDE w:val="0"/>
        <w:autoSpaceDN w:val="0"/>
        <w:adjustRightInd w:val="0"/>
        <w:spacing w:after="120"/>
        <w:ind w:left="720" w:right="-72" w:hanging="720"/>
      </w:pPr>
      <w:r>
        <w:t xml:space="preserve">Armstrong, D. </w:t>
      </w:r>
      <w:r w:rsidR="00B25667" w:rsidRPr="005C1951">
        <w:t xml:space="preserve">(1993) “The Addressees of the </w:t>
      </w:r>
      <w:r w:rsidR="00B25667" w:rsidRPr="005C1951">
        <w:rPr>
          <w:i/>
          <w:iCs/>
        </w:rPr>
        <w:t>Ars Poetica</w:t>
      </w:r>
      <w:r w:rsidR="00B25667" w:rsidRPr="005C1951">
        <w:t xml:space="preserve">: Herculaneum, the Pisones and Epicurean Protreptic,” </w:t>
      </w:r>
      <w:r w:rsidR="00B25667" w:rsidRPr="005C1951">
        <w:rPr>
          <w:i/>
          <w:iCs/>
        </w:rPr>
        <w:t>MD</w:t>
      </w:r>
      <w:r w:rsidR="00B25667" w:rsidRPr="005C1951">
        <w:t xml:space="preserve"> 31: 185-230.</w:t>
      </w:r>
    </w:p>
    <w:p w:rsidR="00B25667" w:rsidRPr="005C1951" w:rsidRDefault="00B25667" w:rsidP="00B25667">
      <w:pPr>
        <w:spacing w:after="120"/>
        <w:ind w:left="720" w:right="-72" w:hanging="720"/>
      </w:pPr>
      <w:r w:rsidRPr="005C1951">
        <w:t xml:space="preserve">----- (1995) “The Impossibility of Metathesis: Philodemus and Lucretius on Form and Content in Poetry,” in </w:t>
      </w:r>
      <w:r w:rsidRPr="005C1951">
        <w:rPr>
          <w:i/>
          <w:iCs/>
        </w:rPr>
        <w:t>Philodemus and Poetry: Poetic Theory and Practice in Lucretius, Philodemus, and Horace</w:t>
      </w:r>
      <w:r w:rsidRPr="005C1951">
        <w:t>, ed. D. Obbink. Oxford.</w:t>
      </w:r>
    </w:p>
    <w:p w:rsidR="00B25667" w:rsidRPr="005C1951" w:rsidRDefault="00B25667" w:rsidP="00B25667">
      <w:pPr>
        <w:pStyle w:val="FootnoteText"/>
        <w:spacing w:after="120"/>
        <w:ind w:left="720" w:right="-72" w:hanging="720"/>
      </w:pPr>
      <w:r w:rsidRPr="005C1951">
        <w:t xml:space="preserve">----- (2004) “Introduction,” in </w:t>
      </w:r>
      <w:r w:rsidRPr="005C1951">
        <w:rPr>
          <w:i/>
          <w:iCs/>
        </w:rPr>
        <w:t>Vergil, Philodemus, and the Augustans</w:t>
      </w:r>
      <w:r w:rsidRPr="005C1951">
        <w:t>, ed. D. Armstrong, J. Fish, P. A. Johnston, and M. B. Skinner. Austin.</w:t>
      </w:r>
    </w:p>
    <w:p w:rsidR="00B25667" w:rsidRPr="005C1951" w:rsidRDefault="00B25667" w:rsidP="00B25667">
      <w:pPr>
        <w:spacing w:after="120"/>
        <w:ind w:left="720" w:right="-72" w:hanging="720"/>
      </w:pPr>
      <w:r w:rsidRPr="005C1951">
        <w:t xml:space="preserve">Asmis, E. (1995) “Epicurean Poetics,” in </w:t>
      </w:r>
      <w:r w:rsidRPr="005C1951">
        <w:rPr>
          <w:i/>
          <w:iCs/>
        </w:rPr>
        <w:t>Philodemus and Poetry: Poetic Theory and Practice in Lucretius, Philodemus, and Horace</w:t>
      </w:r>
      <w:r w:rsidRPr="005C1951">
        <w:t>, ed. D. Obbink. Oxford.</w:t>
      </w:r>
    </w:p>
    <w:p w:rsidR="00B04459" w:rsidRDefault="00B04459" w:rsidP="00B04459">
      <w:pPr>
        <w:spacing w:after="120"/>
        <w:ind w:left="720" w:hanging="720"/>
      </w:pPr>
      <w:r w:rsidRPr="005C1951">
        <w:t xml:space="preserve">Clay, D. (1983) </w:t>
      </w:r>
      <w:r w:rsidRPr="005C1951">
        <w:rPr>
          <w:i/>
          <w:iCs/>
        </w:rPr>
        <w:t>Lucretius and Epicurus</w:t>
      </w:r>
      <w:r w:rsidRPr="005C1951">
        <w:t>. Ithaca.</w:t>
      </w:r>
    </w:p>
    <w:p w:rsidR="00B25667" w:rsidRDefault="00B25667" w:rsidP="00B25667">
      <w:pPr>
        <w:pStyle w:val="FootnoteText"/>
        <w:spacing w:after="120"/>
        <w:ind w:left="720" w:right="-72" w:hanging="720"/>
      </w:pPr>
      <w:r w:rsidRPr="005C1951">
        <w:t xml:space="preserve">Fish, J. (2004) “Anger, Philodemus’ Good King, and the Helen Episode of </w:t>
      </w:r>
      <w:r w:rsidRPr="005C1951">
        <w:rPr>
          <w:i/>
          <w:iCs/>
        </w:rPr>
        <w:t>Aeneid</w:t>
      </w:r>
      <w:r w:rsidRPr="005C1951">
        <w:t xml:space="preserve"> 2.567-589: A New Proof of Authenticity from Herculaneum,” in </w:t>
      </w:r>
      <w:r w:rsidRPr="005C1951">
        <w:rPr>
          <w:i/>
          <w:iCs/>
        </w:rPr>
        <w:t>Vergil, Philodemus, and the Augustans</w:t>
      </w:r>
      <w:r w:rsidRPr="005C1951">
        <w:t>, ed. D. Armstrong, J. Fish, P. A. Johnston, and M. B. Skinner. Austin.</w:t>
      </w:r>
    </w:p>
    <w:p w:rsidR="00B04459" w:rsidRPr="005C1951" w:rsidRDefault="00B04459" w:rsidP="00B04459">
      <w:pPr>
        <w:pStyle w:val="FootnoteText"/>
        <w:spacing w:after="120"/>
        <w:ind w:left="720" w:right="-72" w:hanging="720"/>
      </w:pPr>
      <w:r w:rsidRPr="005C1951">
        <w:t xml:space="preserve">Indelli, G. (2004) “The Vocabulary of Anger in Philodemus’ </w:t>
      </w:r>
      <w:r w:rsidRPr="006C47F6">
        <w:rPr>
          <w:i/>
          <w:iCs/>
        </w:rPr>
        <w:t>Peri Orges</w:t>
      </w:r>
      <w:r w:rsidRPr="005C1951">
        <w:t xml:space="preserve"> and Vergil’s </w:t>
      </w:r>
      <w:r w:rsidRPr="006C47F6">
        <w:rPr>
          <w:i/>
          <w:iCs/>
        </w:rPr>
        <w:t>Aeneid</w:t>
      </w:r>
      <w:r w:rsidRPr="005C1951">
        <w:t xml:space="preserve">,” in </w:t>
      </w:r>
      <w:r w:rsidRPr="005C1951">
        <w:rPr>
          <w:i/>
          <w:iCs/>
        </w:rPr>
        <w:t>Vergil, Philodemus, and the Augustans</w:t>
      </w:r>
      <w:r w:rsidRPr="005C1951">
        <w:t>, ed. D. Armstrong, J. Fish, P. A. Johnston, and M. B. Skinner. Austin.</w:t>
      </w:r>
    </w:p>
    <w:p w:rsidR="00B25667" w:rsidRDefault="00B25667" w:rsidP="00B25667">
      <w:pPr>
        <w:spacing w:after="120"/>
        <w:ind w:left="720" w:right="-72" w:hanging="720"/>
      </w:pPr>
      <w:r w:rsidRPr="005C1951">
        <w:t xml:space="preserve">Lowrie, M. (1997) </w:t>
      </w:r>
      <w:r w:rsidRPr="005C1951">
        <w:rPr>
          <w:i/>
          <w:iCs/>
        </w:rPr>
        <w:t>Horace’s Narrative</w:t>
      </w:r>
      <w:r w:rsidRPr="005C1951">
        <w:t xml:space="preserve"> Odes. Oxford.</w:t>
      </w:r>
    </w:p>
    <w:p w:rsidR="000F2B96" w:rsidRDefault="000F2B96" w:rsidP="000F2B96">
      <w:pPr>
        <w:widowControl w:val="0"/>
        <w:autoSpaceDE w:val="0"/>
        <w:autoSpaceDN w:val="0"/>
        <w:adjustRightInd w:val="0"/>
        <w:spacing w:after="120"/>
        <w:ind w:left="720" w:right="-72" w:hanging="720"/>
      </w:pPr>
      <w:r w:rsidRPr="005C1951">
        <w:t xml:space="preserve">Nisbet, R. G. M. and Rudd, N. (2004) </w:t>
      </w:r>
      <w:r w:rsidRPr="005C1951">
        <w:rPr>
          <w:i/>
          <w:iCs/>
        </w:rPr>
        <w:t>A Commentary on Horace</w:t>
      </w:r>
      <w:r w:rsidRPr="005C1951">
        <w:t>, Odes III. Oxford.</w:t>
      </w:r>
    </w:p>
    <w:p w:rsidR="00B04459" w:rsidRPr="005426DE" w:rsidRDefault="00B04459" w:rsidP="00B04459">
      <w:pPr>
        <w:widowControl w:val="0"/>
        <w:autoSpaceDE w:val="0"/>
        <w:autoSpaceDN w:val="0"/>
        <w:adjustRightInd w:val="0"/>
        <w:spacing w:after="120"/>
        <w:ind w:left="720" w:right="-72" w:hanging="720"/>
      </w:pPr>
      <w:r>
        <w:t>Pl</w:t>
      </w:r>
      <w:r>
        <w:rPr>
          <w:lang w:val="de-DE"/>
        </w:rPr>
        <w:t>ü</w:t>
      </w:r>
      <w:r>
        <w:t xml:space="preserve">ss, H. T. (1882) </w:t>
      </w:r>
      <w:r w:rsidRPr="005426DE">
        <w:rPr>
          <w:i/>
          <w:iCs/>
        </w:rPr>
        <w:t>Horazstudien: alte und neue Aufs</w:t>
      </w:r>
      <w:r w:rsidRPr="005426DE">
        <w:rPr>
          <w:i/>
          <w:iCs/>
          <w:lang w:val="de-DE"/>
        </w:rPr>
        <w:t>ä</w:t>
      </w:r>
      <w:r w:rsidRPr="005426DE">
        <w:rPr>
          <w:i/>
          <w:iCs/>
        </w:rPr>
        <w:t xml:space="preserve">tze </w:t>
      </w:r>
      <w:r w:rsidRPr="005426DE">
        <w:rPr>
          <w:i/>
          <w:iCs/>
          <w:lang w:val="de-DE"/>
        </w:rPr>
        <w:t xml:space="preserve">über </w:t>
      </w:r>
      <w:r w:rsidRPr="005426DE">
        <w:rPr>
          <w:i/>
          <w:iCs/>
        </w:rPr>
        <w:t>horazische Lyrik</w:t>
      </w:r>
      <w:r>
        <w:t>. Leipzig.</w:t>
      </w:r>
    </w:p>
    <w:p w:rsidR="000F2B96" w:rsidRDefault="000F2B96" w:rsidP="00B04459">
      <w:pPr>
        <w:spacing w:after="120"/>
        <w:ind w:left="720" w:hanging="720"/>
      </w:pPr>
      <w:r>
        <w:t>Reckford, K. J. (1969) Horace. New York.</w:t>
      </w:r>
    </w:p>
    <w:p w:rsidR="00B04459" w:rsidRDefault="00B04459" w:rsidP="00B04459">
      <w:pPr>
        <w:spacing w:after="120"/>
        <w:ind w:left="720" w:hanging="720"/>
      </w:pPr>
      <w:r w:rsidRPr="005C1951">
        <w:t xml:space="preserve">Tsouna, V. (2009) “Epicurean Therapeutic Strategies,” in </w:t>
      </w:r>
      <w:r w:rsidRPr="005C1951">
        <w:rPr>
          <w:i/>
          <w:iCs/>
        </w:rPr>
        <w:t>The Cambridge Companion to Epicureanism</w:t>
      </w:r>
      <w:r w:rsidRPr="005C1951">
        <w:t>, ed. J. Warren. Cambridge.</w:t>
      </w:r>
    </w:p>
    <w:p w:rsidR="00B04459" w:rsidRPr="005C1951" w:rsidRDefault="00B04459" w:rsidP="00B04459">
      <w:pPr>
        <w:spacing w:after="120"/>
        <w:ind w:left="720" w:right="-72" w:hanging="720"/>
      </w:pPr>
      <w:r w:rsidRPr="005C1951">
        <w:t xml:space="preserve">Thomas, R. F. (1985)  "From </w:t>
      </w:r>
      <w:r w:rsidRPr="005C1951">
        <w:rPr>
          <w:i/>
          <w:iCs/>
        </w:rPr>
        <w:t>Recusatio</w:t>
      </w:r>
      <w:r w:rsidRPr="005C1951">
        <w:t xml:space="preserve"> to Commitment. The Evolution of the Virgilian Programme," </w:t>
      </w:r>
      <w:r w:rsidRPr="005C1951">
        <w:rPr>
          <w:i/>
          <w:iCs/>
        </w:rPr>
        <w:t>Papers of the Liverpool Latin Seminar</w:t>
      </w:r>
      <w:r w:rsidRPr="005C1951">
        <w:t xml:space="preserve"> 5: 61-73.  </w:t>
      </w:r>
    </w:p>
    <w:p w:rsidR="00B04459" w:rsidRDefault="00B04459" w:rsidP="00B04459">
      <w:pPr>
        <w:spacing w:after="120"/>
        <w:ind w:left="720" w:right="-72" w:hanging="720"/>
      </w:pPr>
      <w:r w:rsidRPr="005C1951">
        <w:t xml:space="preserve">----- (2001) </w:t>
      </w:r>
      <w:r w:rsidRPr="005C1951">
        <w:rPr>
          <w:i/>
          <w:iCs/>
        </w:rPr>
        <w:t>Virgil and the Augustan Reception</w:t>
      </w:r>
      <w:r w:rsidRPr="005C1951">
        <w:t>. Cambridge.</w:t>
      </w:r>
    </w:p>
    <w:p w:rsidR="00C209B7" w:rsidRPr="005C1951" w:rsidRDefault="00C209B7" w:rsidP="00C209B7">
      <w:pPr>
        <w:widowControl w:val="0"/>
        <w:autoSpaceDE w:val="0"/>
        <w:autoSpaceDN w:val="0"/>
        <w:adjustRightInd w:val="0"/>
        <w:spacing w:after="120"/>
        <w:ind w:left="720" w:right="-72" w:hanging="720"/>
      </w:pPr>
      <w:r>
        <w:t xml:space="preserve">West, D.  </w:t>
      </w:r>
      <w:r w:rsidRPr="005C1951">
        <w:t xml:space="preserve">(2002) </w:t>
      </w:r>
      <w:r w:rsidRPr="005C1951">
        <w:rPr>
          <w:i/>
          <w:iCs/>
        </w:rPr>
        <w:t>Horace</w:t>
      </w:r>
      <w:r w:rsidRPr="005C1951">
        <w:t xml:space="preserve"> Odes III: Dulce Periculum. Oxford.</w:t>
      </w:r>
    </w:p>
    <w:p w:rsidR="000F2B96" w:rsidRPr="005C1951" w:rsidRDefault="000F2B96" w:rsidP="000F2B96">
      <w:pPr>
        <w:widowControl w:val="0"/>
        <w:autoSpaceDE w:val="0"/>
        <w:autoSpaceDN w:val="0"/>
        <w:adjustRightInd w:val="0"/>
        <w:spacing w:after="120"/>
        <w:ind w:left="720" w:right="-72" w:hanging="720"/>
      </w:pPr>
      <w:r>
        <w:t>Williams, G.</w:t>
      </w:r>
      <w:r w:rsidRPr="005C1951">
        <w:t xml:space="preserve"> (1969). </w:t>
      </w:r>
      <w:r w:rsidRPr="005C1951">
        <w:rPr>
          <w:i/>
          <w:iCs/>
        </w:rPr>
        <w:t>The Third Book of Horace’s</w:t>
      </w:r>
      <w:r w:rsidRPr="005C1951">
        <w:t xml:space="preserve"> Odes.  Oxford.</w:t>
      </w:r>
    </w:p>
    <w:p w:rsidR="000F2B96" w:rsidRPr="005C1951" w:rsidRDefault="000F2B96" w:rsidP="00B04459">
      <w:pPr>
        <w:spacing w:after="120"/>
        <w:ind w:left="720" w:right="-72" w:hanging="720"/>
      </w:pPr>
    </w:p>
    <w:p w:rsidR="00B04459" w:rsidRPr="005C1951" w:rsidRDefault="00B04459" w:rsidP="00B04459">
      <w:pPr>
        <w:spacing w:after="120"/>
        <w:ind w:left="720" w:hanging="720"/>
      </w:pPr>
    </w:p>
    <w:p w:rsidR="00B25667" w:rsidRDefault="00B25667" w:rsidP="00B25667">
      <w:pPr>
        <w:spacing w:after="120"/>
        <w:ind w:left="720" w:right="-72" w:hanging="720"/>
        <w:rPr>
          <w:sz w:val="20"/>
          <w:szCs w:val="20"/>
        </w:rPr>
      </w:pPr>
    </w:p>
    <w:p w:rsidR="00B25667" w:rsidRPr="00B25667" w:rsidRDefault="00B25667" w:rsidP="00B25667">
      <w:pPr>
        <w:spacing w:line="480" w:lineRule="auto"/>
        <w:ind w:firstLine="720"/>
      </w:pPr>
    </w:p>
    <w:sectPr w:rsidR="00B25667" w:rsidRPr="00B25667" w:rsidSect="009166FD"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1D" w:rsidRDefault="00EA791D" w:rsidP="009166FD">
      <w:r>
        <w:separator/>
      </w:r>
    </w:p>
  </w:endnote>
  <w:endnote w:type="continuationSeparator" w:id="0">
    <w:p w:rsidR="00EA791D" w:rsidRDefault="00EA791D" w:rsidP="00916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1D" w:rsidRDefault="00EA791D" w:rsidP="009166FD">
      <w:r>
        <w:separator/>
      </w:r>
    </w:p>
  </w:footnote>
  <w:footnote w:type="continuationSeparator" w:id="0">
    <w:p w:rsidR="00EA791D" w:rsidRDefault="00EA791D" w:rsidP="009166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6B7D"/>
    <w:rsid w:val="00003001"/>
    <w:rsid w:val="00034673"/>
    <w:rsid w:val="00044119"/>
    <w:rsid w:val="000B7A2C"/>
    <w:rsid w:val="000F2B96"/>
    <w:rsid w:val="002177C8"/>
    <w:rsid w:val="0027185E"/>
    <w:rsid w:val="002924EC"/>
    <w:rsid w:val="00404F04"/>
    <w:rsid w:val="006224C3"/>
    <w:rsid w:val="00692765"/>
    <w:rsid w:val="008F79E8"/>
    <w:rsid w:val="009166FD"/>
    <w:rsid w:val="00931475"/>
    <w:rsid w:val="00A61603"/>
    <w:rsid w:val="00AA1FF0"/>
    <w:rsid w:val="00AA4B22"/>
    <w:rsid w:val="00AE2D80"/>
    <w:rsid w:val="00B04459"/>
    <w:rsid w:val="00B12D3C"/>
    <w:rsid w:val="00B22E28"/>
    <w:rsid w:val="00B25667"/>
    <w:rsid w:val="00B6571E"/>
    <w:rsid w:val="00BC5A55"/>
    <w:rsid w:val="00C209B7"/>
    <w:rsid w:val="00C84356"/>
    <w:rsid w:val="00CB603B"/>
    <w:rsid w:val="00DA2999"/>
    <w:rsid w:val="00E16225"/>
    <w:rsid w:val="00EA791D"/>
    <w:rsid w:val="00F96B7D"/>
    <w:rsid w:val="00FD7138"/>
  </w:rsids>
  <m:mathPr>
    <m:mathFont m:val="ヒラギノ角ゴ ProN W3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166FD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66FD"/>
    <w:rPr>
      <w:rFonts w:eastAsia="Times New Roman"/>
    </w:rPr>
  </w:style>
  <w:style w:type="character" w:styleId="FootnoteReference">
    <w:name w:val="footnote reference"/>
    <w:basedOn w:val="DefaultParagraphFont"/>
    <w:semiHidden/>
    <w:rsid w:val="009166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166FD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66FD"/>
    <w:rPr>
      <w:rFonts w:eastAsia="Times New Roman"/>
    </w:rPr>
  </w:style>
  <w:style w:type="character" w:styleId="FootnoteReference">
    <w:name w:val="footnote reference"/>
    <w:basedOn w:val="DefaultParagraphFont"/>
    <w:semiHidden/>
    <w:rsid w:val="009166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4048</Characters>
  <Application>Microsoft Macintosh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Information and Instructional Technologies</cp:lastModifiedBy>
  <cp:revision>3</cp:revision>
  <dcterms:created xsi:type="dcterms:W3CDTF">2011-09-22T19:07:00Z</dcterms:created>
  <dcterms:modified xsi:type="dcterms:W3CDTF">2011-10-04T18:34:00Z</dcterms:modified>
</cp:coreProperties>
</file>