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18EF" w14:textId="77777777" w:rsidR="00456F42" w:rsidRPr="00F82205" w:rsidRDefault="00D551A7" w:rsidP="00F822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205">
        <w:rPr>
          <w:rFonts w:ascii="Times New Roman" w:hAnsi="Times New Roman" w:cs="Times New Roman"/>
          <w:sz w:val="24"/>
          <w:szCs w:val="24"/>
        </w:rPr>
        <w:t xml:space="preserve">The Atrium </w:t>
      </w:r>
      <w:r>
        <w:rPr>
          <w:rFonts w:ascii="Times New Roman" w:hAnsi="Times New Roman" w:cs="Times New Roman"/>
          <w:sz w:val="24"/>
          <w:szCs w:val="24"/>
        </w:rPr>
        <w:t>and the Elite: Models of Space i</w:t>
      </w:r>
      <w:r w:rsidRPr="00F82205">
        <w:rPr>
          <w:rFonts w:ascii="Times New Roman" w:hAnsi="Times New Roman" w:cs="Times New Roman"/>
          <w:sz w:val="24"/>
          <w:szCs w:val="24"/>
        </w:rPr>
        <w:t>n Latin Literature</w:t>
      </w:r>
    </w:p>
    <w:p w14:paraId="61E265A9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</w:p>
    <w:p w14:paraId="4562E042" w14:textId="77777777" w:rsidR="00456F42" w:rsidRPr="00F82205" w:rsidRDefault="00456F42" w:rsidP="00456F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2205">
        <w:rPr>
          <w:rFonts w:ascii="Times New Roman" w:hAnsi="Times New Roman" w:cs="Times New Roman"/>
          <w:sz w:val="24"/>
          <w:szCs w:val="24"/>
        </w:rPr>
        <w:t>The study of space in literature and the archaeological record has been a matter of much</w:t>
      </w:r>
    </w:p>
    <w:p w14:paraId="7D4211F9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scholarship and frequent debate. Scholars have approached the </w:t>
      </w:r>
      <w:proofErr w:type="gramStart"/>
      <w:r w:rsidRPr="00F82205">
        <w:rPr>
          <w:rFonts w:ascii="Times New Roman" w:hAnsi="Times New Roman" w:cs="Times New Roman"/>
          <w:sz w:val="24"/>
          <w:szCs w:val="24"/>
        </w:rPr>
        <w:t>topic using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close</w:t>
      </w:r>
    </w:p>
    <w:p w14:paraId="6AB88107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philological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study, cognitive psychology, and archaeological methods but have been limited by</w:t>
      </w:r>
    </w:p>
    <w:p w14:paraId="433AE83F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the paucity of archaeological material from domestic contexts and few examples of insights</w:t>
      </w:r>
    </w:p>
    <w:p w14:paraId="45EC98A5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the Roman conception of space in the literature. Many scholars have readily applied</w:t>
      </w:r>
    </w:p>
    <w:p w14:paraId="20A8D107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r w:rsidRPr="00F82205">
        <w:rPr>
          <w:rFonts w:ascii="Times New Roman" w:hAnsi="Times New Roman" w:cs="Times New Roman"/>
          <w:sz w:val="24"/>
          <w:szCs w:val="24"/>
        </w:rPr>
        <w:t xml:space="preserve">Vitruvian derived room names, such as the 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Pr="00F82205">
        <w:rPr>
          <w:rFonts w:ascii="Times New Roman" w:hAnsi="Times New Roman" w:cs="Times New Roman"/>
          <w:sz w:val="24"/>
          <w:szCs w:val="24"/>
        </w:rPr>
        <w:t>, to domestic spaces that seem to correlate with</w:t>
      </w:r>
    </w:p>
    <w:p w14:paraId="0767C047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Vitruvius’ descriptions.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Others have argued for a complete dismissal of all room nomenclature in</w:t>
      </w:r>
    </w:p>
    <w:p w14:paraId="32482941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favor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of one based </w:t>
      </w:r>
      <w:r w:rsidR="007A64B1">
        <w:rPr>
          <w:rFonts w:ascii="Times New Roman" w:hAnsi="Times New Roman" w:cs="Times New Roman"/>
          <w:sz w:val="24"/>
          <w:szCs w:val="24"/>
        </w:rPr>
        <w:t xml:space="preserve">only </w:t>
      </w:r>
      <w:r w:rsidRPr="00F82205">
        <w:rPr>
          <w:rFonts w:ascii="Times New Roman" w:hAnsi="Times New Roman" w:cs="Times New Roman"/>
          <w:sz w:val="24"/>
          <w:szCs w:val="24"/>
        </w:rPr>
        <w:t>on room assemblages and other archaeological material. This paper</w:t>
      </w:r>
    </w:p>
    <w:p w14:paraId="156364B4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combines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both philological and archaeological approaches in order to analyze the cognitive</w:t>
      </w:r>
    </w:p>
    <w:p w14:paraId="211B08D0" w14:textId="77777777" w:rsidR="00456F42" w:rsidRPr="00F82205" w:rsidRDefault="00F82205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associations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of Roman authors </w:t>
      </w:r>
      <w:r w:rsidR="00456F42" w:rsidRPr="00F82205">
        <w:rPr>
          <w:rFonts w:ascii="Times New Roman" w:hAnsi="Times New Roman" w:cs="Times New Roman"/>
          <w:sz w:val="24"/>
          <w:szCs w:val="24"/>
        </w:rPr>
        <w:t xml:space="preserve">with the </w:t>
      </w:r>
      <w:r w:rsidR="00456F42"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="00456F42" w:rsidRPr="00F82205">
        <w:rPr>
          <w:rFonts w:ascii="Times New Roman" w:hAnsi="Times New Roman" w:cs="Times New Roman"/>
          <w:sz w:val="24"/>
          <w:szCs w:val="24"/>
        </w:rPr>
        <w:t xml:space="preserve"> in Latin literature. To do this, I located and</w:t>
      </w:r>
    </w:p>
    <w:p w14:paraId="252DC89D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analyzed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every occurrence of 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Pr="00F82205">
        <w:rPr>
          <w:rFonts w:ascii="Times New Roman" w:hAnsi="Times New Roman" w:cs="Times New Roman"/>
          <w:sz w:val="24"/>
          <w:szCs w:val="24"/>
        </w:rPr>
        <w:t xml:space="preserve"> in Latin literature. I then grouped every reference to the</w:t>
      </w:r>
    </w:p>
    <w:p w14:paraId="6875F996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into patterns of association that included: the 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Pr="00F82205">
        <w:rPr>
          <w:rFonts w:ascii="Times New Roman" w:hAnsi="Times New Roman" w:cs="Times New Roman"/>
          <w:sz w:val="24"/>
          <w:szCs w:val="24"/>
        </w:rPr>
        <w:t xml:space="preserve"> as a place of ritual, a place of luxury,</w:t>
      </w:r>
    </w:p>
    <w:p w14:paraId="10F4E56F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a place of conquest. These associations indicate that the conception of the 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</w:p>
    <w:p w14:paraId="1E12830E" w14:textId="77777777" w:rsidR="00456F42" w:rsidRPr="00F82205" w:rsidRDefault="00C169BC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upper </w:t>
      </w:r>
      <w:r w:rsidR="00456F42" w:rsidRPr="00F82205">
        <w:rPr>
          <w:rFonts w:ascii="Times New Roman" w:hAnsi="Times New Roman" w:cs="Times New Roman"/>
          <w:sz w:val="24"/>
          <w:szCs w:val="24"/>
        </w:rPr>
        <w:t>class phenomenon and appears only in very specific socioeconomic contexts. This</w:t>
      </w:r>
    </w:p>
    <w:p w14:paraId="473A7E9C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demonstrates the need to separate the 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Pr="00F82205">
        <w:rPr>
          <w:rFonts w:ascii="Times New Roman" w:hAnsi="Times New Roman" w:cs="Times New Roman"/>
          <w:sz w:val="24"/>
          <w:szCs w:val="24"/>
        </w:rPr>
        <w:t xml:space="preserve"> nomenclature for this space, and all of the</w:t>
      </w:r>
    </w:p>
    <w:p w14:paraId="2A180E4D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cognitive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associations that go with it, from the archaeological term for the ‘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Pr="00F82205">
        <w:rPr>
          <w:rFonts w:ascii="Times New Roman" w:hAnsi="Times New Roman" w:cs="Times New Roman"/>
          <w:sz w:val="24"/>
          <w:szCs w:val="24"/>
        </w:rPr>
        <w:t>’ as a 'front</w:t>
      </w:r>
    </w:p>
    <w:p w14:paraId="77E95B76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hall'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. The </w:t>
      </w:r>
      <w:r w:rsidRPr="00F82205">
        <w:rPr>
          <w:rFonts w:ascii="Times New Roman" w:hAnsi="Times New Roman" w:cs="Times New Roman"/>
          <w:i/>
          <w:sz w:val="24"/>
          <w:szCs w:val="24"/>
        </w:rPr>
        <w:t>atrium</w:t>
      </w:r>
      <w:r w:rsidRPr="00F82205">
        <w:rPr>
          <w:rFonts w:ascii="Times New Roman" w:hAnsi="Times New Roman" w:cs="Times New Roman"/>
          <w:sz w:val="24"/>
          <w:szCs w:val="24"/>
        </w:rPr>
        <w:t xml:space="preserve"> is not just any front room but a specific room where particular rituals and</w:t>
      </w:r>
    </w:p>
    <w:p w14:paraId="4E66C69C" w14:textId="77777777" w:rsidR="00456F42" w:rsidRPr="00F82205" w:rsidRDefault="00F82205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of the upper  </w:t>
      </w:r>
      <w:r w:rsidR="00456F42" w:rsidRPr="00F82205">
        <w:rPr>
          <w:rFonts w:ascii="Times New Roman" w:hAnsi="Times New Roman" w:cs="Times New Roman"/>
          <w:sz w:val="24"/>
          <w:szCs w:val="24"/>
        </w:rPr>
        <w:t>class occurred. This paper underscores the need to both problematize the</w:t>
      </w:r>
    </w:p>
    <w:p w14:paraId="57DE3B8B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of Vitruvian room nomenclature as applied to room types and also carefully analyze the</w:t>
      </w:r>
    </w:p>
    <w:p w14:paraId="039F1A6B" w14:textId="77777777" w:rsidR="00456F42" w:rsidRPr="00F82205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literary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record in order to discover cognitive associations that may not be present in the</w:t>
      </w:r>
    </w:p>
    <w:p w14:paraId="09C522F6" w14:textId="77777777" w:rsidR="00B868C4" w:rsidRDefault="00456F42" w:rsidP="0045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205">
        <w:rPr>
          <w:rFonts w:ascii="Times New Roman" w:hAnsi="Times New Roman" w:cs="Times New Roman"/>
          <w:sz w:val="24"/>
          <w:szCs w:val="24"/>
        </w:rPr>
        <w:t>archaeological</w:t>
      </w:r>
      <w:proofErr w:type="gramEnd"/>
      <w:r w:rsidRPr="00F82205">
        <w:rPr>
          <w:rFonts w:ascii="Times New Roman" w:hAnsi="Times New Roman" w:cs="Times New Roman"/>
          <w:sz w:val="24"/>
          <w:szCs w:val="24"/>
        </w:rPr>
        <w:t xml:space="preserve"> material.</w:t>
      </w:r>
    </w:p>
    <w:p w14:paraId="6ADAF1A9" w14:textId="77777777" w:rsidR="00F82205" w:rsidRDefault="00F82205" w:rsidP="00456F42">
      <w:pPr>
        <w:rPr>
          <w:rFonts w:ascii="Times New Roman" w:hAnsi="Times New Roman" w:cs="Times New Roman"/>
          <w:sz w:val="24"/>
          <w:szCs w:val="24"/>
        </w:rPr>
      </w:pPr>
    </w:p>
    <w:p w14:paraId="6C75C65F" w14:textId="77777777" w:rsidR="00F82205" w:rsidRDefault="00F82205" w:rsidP="00456F42">
      <w:pPr>
        <w:rPr>
          <w:rFonts w:ascii="Times New Roman" w:hAnsi="Times New Roman" w:cs="Times New Roman"/>
          <w:sz w:val="24"/>
          <w:szCs w:val="24"/>
        </w:rPr>
      </w:pPr>
    </w:p>
    <w:p w14:paraId="7D480C97" w14:textId="77777777" w:rsidR="00F82205" w:rsidRPr="00FC780B" w:rsidRDefault="00F82205" w:rsidP="00C1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Selecte</w:t>
      </w:r>
      <w:r w:rsidRPr="00FC780B">
        <w:rPr>
          <w:rFonts w:ascii="Times New Roman" w:hAnsi="Times New Roman" w:cs="Times New Roman"/>
          <w:sz w:val="24"/>
          <w:szCs w:val="24"/>
        </w:rPr>
        <w:t>d Works Cited</w:t>
      </w:r>
    </w:p>
    <w:p w14:paraId="5017F437" w14:textId="77777777" w:rsidR="00F82205" w:rsidRPr="00FC780B" w:rsidRDefault="00F82205" w:rsidP="00C169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00C975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Allison, P. </w:t>
      </w:r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Pompeian Households: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 xml:space="preserve"> An Analysis of the Material Culture</w:t>
      </w:r>
      <w:r w:rsidRPr="00FC780B">
        <w:rPr>
          <w:rFonts w:ascii="Times New Roman" w:hAnsi="Times New Roman" w:cs="Times New Roman"/>
          <w:sz w:val="24"/>
          <w:szCs w:val="24"/>
        </w:rPr>
        <w:t>. Los Angeles,</w:t>
      </w:r>
    </w:p>
    <w:p w14:paraId="333D616D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2004.</w:t>
      </w:r>
    </w:p>
    <w:p w14:paraId="54CF56DB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Allison, P. "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Artefact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 Distribution and Spat</w:t>
      </w:r>
      <w:r>
        <w:rPr>
          <w:rFonts w:ascii="Times New Roman" w:hAnsi="Times New Roman" w:cs="Times New Roman"/>
          <w:sz w:val="24"/>
          <w:szCs w:val="24"/>
        </w:rPr>
        <w:t>ial Function in Pompeian Houses," i</w:t>
      </w:r>
      <w:r w:rsidRPr="00FC780B">
        <w:rPr>
          <w:rFonts w:ascii="Times New Roman" w:hAnsi="Times New Roman" w:cs="Times New Roman"/>
          <w:sz w:val="24"/>
          <w:szCs w:val="24"/>
        </w:rPr>
        <w:t>n B.</w:t>
      </w:r>
    </w:p>
    <w:p w14:paraId="3143FB9B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Rawson and P. Weaver, eds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The Roman Family in Italy: Status, Sentiment, Space</w:t>
      </w:r>
    </w:p>
    <w:p w14:paraId="1818404E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(Oxford, 1997) 321-54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5679F63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Bergmann, B. "The Roman House as Memory Theater: The House of the Tragic Poet in</w:t>
      </w:r>
    </w:p>
    <w:p w14:paraId="235A9BDE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Pompeii</w:t>
      </w:r>
      <w:r w:rsidRPr="00FC780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Art Bulletin V. 76, No</w:t>
      </w:r>
      <w:r w:rsidRPr="00FC780B">
        <w:rPr>
          <w:rFonts w:ascii="Times New Roman" w:hAnsi="Times New Roman" w:cs="Times New Roman"/>
          <w:sz w:val="24"/>
          <w:szCs w:val="24"/>
        </w:rPr>
        <w:t>. 2 (1994) 225-56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61A53B6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 xml:space="preserve">Berry, J. "Household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Artefacts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: Towards a Reinterpretation of Roman Domestic Space,"</w:t>
      </w:r>
    </w:p>
    <w:p w14:paraId="1B0A5293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R. Laurence and A. Wallace-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Hadrill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, eds.,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Domestic Space in the Roman</w:t>
      </w:r>
    </w:p>
    <w:p w14:paraId="760E82A1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i/>
          <w:iCs/>
          <w:sz w:val="24"/>
          <w:szCs w:val="24"/>
        </w:rPr>
        <w:t xml:space="preserve">World: Pompeii and Beyond </w:t>
      </w:r>
      <w:r w:rsidRPr="00FC780B">
        <w:rPr>
          <w:rFonts w:ascii="Times New Roman" w:hAnsi="Times New Roman" w:cs="Times New Roman"/>
          <w:sz w:val="24"/>
          <w:szCs w:val="24"/>
        </w:rPr>
        <w:t>(Portsmouth, 1997).</w:t>
      </w:r>
    </w:p>
    <w:p w14:paraId="25B6414B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 xml:space="preserve">Flower, H.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Ancestor Masks and Aristocratic Power in Roman Culture</w:t>
      </w:r>
      <w:r w:rsidRPr="00FC7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Oxford, 1996.</w:t>
      </w:r>
      <w:proofErr w:type="gramEnd"/>
    </w:p>
    <w:p w14:paraId="5BF395D0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 xml:space="preserve">Gardner, J.G., and T.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Wiedemann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.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The Roman Household: A Sourcebook</w:t>
      </w:r>
      <w:r w:rsidRPr="00FC780B">
        <w:rPr>
          <w:rFonts w:ascii="Times New Roman" w:hAnsi="Times New Roman" w:cs="Times New Roman"/>
          <w:sz w:val="24"/>
          <w:szCs w:val="24"/>
        </w:rPr>
        <w:t>. London,</w:t>
      </w:r>
    </w:p>
    <w:p w14:paraId="2AC735EA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1991.</w:t>
      </w:r>
    </w:p>
    <w:p w14:paraId="376C1452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Grahame, M. "Public and Private in the Roman House: Investigating the Social Order of</w:t>
      </w:r>
    </w:p>
    <w:p w14:paraId="48545E1D" w14:textId="77777777" w:rsidR="00F82205" w:rsidRPr="00380DEE" w:rsidRDefault="00F82205" w:rsidP="00C169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Casa del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Fauno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," in R. Laurence and A. Wallace-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Hadrill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, eds.,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Domestic</w:t>
      </w:r>
      <w:r w:rsidRPr="00380D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 xml:space="preserve">Space in the Roman World: Pompeii and Beyond </w:t>
      </w:r>
      <w:r w:rsidRPr="00FC780B">
        <w:rPr>
          <w:rFonts w:ascii="Times New Roman" w:hAnsi="Times New Roman" w:cs="Times New Roman"/>
          <w:sz w:val="24"/>
          <w:szCs w:val="24"/>
        </w:rPr>
        <w:t>(Portsmouth, 1997).</w:t>
      </w:r>
    </w:p>
    <w:p w14:paraId="67AB4D95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 xml:space="preserve">Grahame, M.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Reading Space. Social Interaction and Identity in the Houses of Roman</w:t>
      </w:r>
    </w:p>
    <w:p w14:paraId="31CC3F2C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i/>
          <w:iCs/>
          <w:sz w:val="24"/>
          <w:szCs w:val="24"/>
        </w:rPr>
        <w:t xml:space="preserve">Pompeii. </w:t>
      </w:r>
      <w:proofErr w:type="gramStart"/>
      <w:r>
        <w:rPr>
          <w:rFonts w:ascii="Times New Roman" w:hAnsi="Times New Roman" w:cs="Times New Roman"/>
          <w:sz w:val="24"/>
          <w:szCs w:val="24"/>
        </w:rPr>
        <w:t>Oxford, 2000.</w:t>
      </w:r>
      <w:proofErr w:type="gramEnd"/>
    </w:p>
    <w:p w14:paraId="03A03FFF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Hales, S.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The Roman House and Social Identity</w:t>
      </w:r>
      <w:r w:rsidRPr="00FC78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Cambridge, 2003.</w:t>
      </w:r>
      <w:proofErr w:type="gramEnd"/>
    </w:p>
    <w:p w14:paraId="35C3D847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Hiller, B and Hanson, J.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80B">
        <w:rPr>
          <w:rFonts w:ascii="Times New Roman" w:hAnsi="Times New Roman" w:cs="Times New Roman"/>
          <w:i/>
          <w:iCs/>
          <w:sz w:val="24"/>
          <w:szCs w:val="24"/>
        </w:rPr>
        <w:t>The Social Logic of Space</w:t>
      </w:r>
      <w:r w:rsidRPr="00FC7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Cambridge, 1984.</w:t>
      </w:r>
      <w:proofErr w:type="gramEnd"/>
    </w:p>
    <w:p w14:paraId="354CEFF0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 xml:space="preserve">Kent. S., ed.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Domestic Architecture and the Use of Space: An Interdisciplinary Cross-</w:t>
      </w:r>
    </w:p>
    <w:p w14:paraId="639DA35A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i/>
          <w:iCs/>
          <w:sz w:val="24"/>
          <w:szCs w:val="24"/>
        </w:rPr>
        <w:t>Cultural Study</w:t>
      </w:r>
      <w:r w:rsidRPr="00FC78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Cambridge, 1990.</w:t>
      </w:r>
      <w:proofErr w:type="gramEnd"/>
    </w:p>
    <w:p w14:paraId="31909361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Laurence, R. “Space and Text” in Laurence, R., and A. Wallace-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Hadrill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.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Domestic</w:t>
      </w:r>
    </w:p>
    <w:p w14:paraId="1272C85B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80B">
        <w:rPr>
          <w:rFonts w:ascii="Times New Roman" w:hAnsi="Times New Roman" w:cs="Times New Roman"/>
          <w:i/>
          <w:iCs/>
          <w:sz w:val="24"/>
          <w:szCs w:val="24"/>
        </w:rPr>
        <w:t>Space in the Roman World: Pompeii and Beyond</w:t>
      </w:r>
      <w:r w:rsidRPr="00FC78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Portsmouth, 1997.</w:t>
      </w:r>
      <w:proofErr w:type="gramEnd"/>
    </w:p>
    <w:p w14:paraId="587D15E9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Leach, E.W.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80B">
        <w:rPr>
          <w:rFonts w:ascii="Times New Roman" w:hAnsi="Times New Roman" w:cs="Times New Roman"/>
          <w:i/>
          <w:iCs/>
          <w:sz w:val="24"/>
          <w:szCs w:val="24"/>
        </w:rPr>
        <w:t>The Social Life of Painting in Ancient Rome and on the Bay of Naples.</w:t>
      </w:r>
      <w:proofErr w:type="gramEnd"/>
    </w:p>
    <w:p w14:paraId="51BE7717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Cambridge, 2004.</w:t>
      </w:r>
      <w:proofErr w:type="gramEnd"/>
    </w:p>
    <w:p w14:paraId="12EB9955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Leach, E. W. 1997.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Oecus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Ibycus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: investigating the vocabulary of the Roman house."</w:t>
      </w:r>
    </w:p>
    <w:p w14:paraId="7365FB89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 xml:space="preserve">In S. Bon and R. Jones, </w:t>
      </w:r>
      <w:r>
        <w:rPr>
          <w:rFonts w:ascii="Times New Roman" w:hAnsi="Times New Roman" w:cs="Times New Roman"/>
          <w:i/>
          <w:iCs/>
          <w:sz w:val="24"/>
          <w:szCs w:val="24"/>
        </w:rPr>
        <w:t>Sequence and S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pace in Pompeii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(Oxford, 1997)</w:t>
      </w:r>
      <w:r w:rsidRPr="00FC780B">
        <w:rPr>
          <w:rFonts w:ascii="Times New Roman" w:hAnsi="Times New Roman" w:cs="Times New Roman"/>
          <w:sz w:val="24"/>
          <w:szCs w:val="24"/>
        </w:rPr>
        <w:t xml:space="preserve"> 50-72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6FB6AC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lastRenderedPageBreak/>
        <w:t>Montello, D. R. (2007).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“The contribution of space syntax to a comprehensive theory of</w:t>
      </w:r>
    </w:p>
    <w:p w14:paraId="1ABFC0B9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psychology.” In A. S.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, Ö.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, Y. I. 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, &amp; E.</w:t>
      </w:r>
    </w:p>
    <w:p w14:paraId="495143AF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780B">
        <w:rPr>
          <w:rFonts w:ascii="Times New Roman" w:hAnsi="Times New Roman" w:cs="Times New Roman"/>
          <w:sz w:val="24"/>
          <w:szCs w:val="24"/>
        </w:rPr>
        <w:t>Eyüboğlu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 xml:space="preserve"> (Eds.), 6th International Space Syntax Symposium Proceedings (pp. iv-</w:t>
      </w:r>
    </w:p>
    <w:p w14:paraId="4D9E7F8B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1–iv-12).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Istanbul, ITÜ Faculty of Architecture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FD1B5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80B">
        <w:rPr>
          <w:rFonts w:ascii="Times New Roman" w:hAnsi="Times New Roman" w:cs="Times New Roman"/>
          <w:sz w:val="24"/>
          <w:szCs w:val="24"/>
        </w:rPr>
        <w:t>Riggsby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, A. “Plin</w:t>
      </w:r>
      <w:r>
        <w:rPr>
          <w:rFonts w:ascii="Times New Roman" w:hAnsi="Times New Roman" w:cs="Times New Roman"/>
          <w:sz w:val="24"/>
          <w:szCs w:val="24"/>
        </w:rPr>
        <w:t>y in Space (and Time)” Arethusa 36, 2 (</w:t>
      </w:r>
      <w:r w:rsidRPr="00FC780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 167-186</w:t>
      </w:r>
      <w:r w:rsidRPr="00FC7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C6D0145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80B">
        <w:rPr>
          <w:rFonts w:ascii="Times New Roman" w:hAnsi="Times New Roman" w:cs="Times New Roman"/>
          <w:sz w:val="24"/>
          <w:szCs w:val="24"/>
        </w:rPr>
        <w:t>Riggsby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, A. “'Public' and 'private' in Roman culture: the case of the cubiculum” Journal</w:t>
      </w:r>
    </w:p>
    <w:p w14:paraId="6CD678D9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80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Roman archaeology 10 (1997) 36-56.</w:t>
      </w:r>
    </w:p>
    <w:p w14:paraId="7AE7134A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 xml:space="preserve">Taylor, R. Review of Grahame, M.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Reading Space. Social Interaction and Identity in the</w:t>
      </w:r>
    </w:p>
    <w:p w14:paraId="0DDC04D5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Houses of Roman Pompeii.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Journal of Roma</w:t>
      </w:r>
      <w:r>
        <w:rPr>
          <w:rFonts w:ascii="Times New Roman" w:hAnsi="Times New Roman" w:cs="Times New Roman"/>
          <w:sz w:val="24"/>
          <w:szCs w:val="24"/>
        </w:rPr>
        <w:t>n Archaeology 15 (2000)</w:t>
      </w:r>
      <w:r w:rsidRPr="00FC780B">
        <w:rPr>
          <w:rFonts w:ascii="Times New Roman" w:hAnsi="Times New Roman" w:cs="Times New Roman"/>
          <w:sz w:val="24"/>
          <w:szCs w:val="24"/>
        </w:rPr>
        <w:t xml:space="preserve"> 439-444.</w:t>
      </w:r>
      <w:proofErr w:type="gramEnd"/>
    </w:p>
    <w:p w14:paraId="4CB21819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80B">
        <w:rPr>
          <w:rFonts w:ascii="Times New Roman" w:hAnsi="Times New Roman" w:cs="Times New Roman"/>
          <w:sz w:val="24"/>
          <w:szCs w:val="24"/>
        </w:rPr>
        <w:t>Wallace-</w:t>
      </w:r>
      <w:proofErr w:type="spellStart"/>
      <w:r w:rsidRPr="00FC780B">
        <w:rPr>
          <w:rFonts w:ascii="Times New Roman" w:hAnsi="Times New Roman" w:cs="Times New Roman"/>
          <w:sz w:val="24"/>
          <w:szCs w:val="24"/>
        </w:rPr>
        <w:t>Hadrill</w:t>
      </w:r>
      <w:proofErr w:type="spellEnd"/>
      <w:r w:rsidRPr="00FC780B">
        <w:rPr>
          <w:rFonts w:ascii="Times New Roman" w:hAnsi="Times New Roman" w:cs="Times New Roman"/>
          <w:sz w:val="24"/>
          <w:szCs w:val="24"/>
        </w:rPr>
        <w:t>, eds</w:t>
      </w:r>
      <w:proofErr w:type="gramStart"/>
      <w:r w:rsidRPr="00FC780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780B">
        <w:rPr>
          <w:rFonts w:ascii="Times New Roman" w:hAnsi="Times New Roman" w:cs="Times New Roman"/>
          <w:sz w:val="24"/>
          <w:szCs w:val="24"/>
        </w:rPr>
        <w:t xml:space="preserve"> </w:t>
      </w:r>
      <w:r w:rsidRPr="00FC780B">
        <w:rPr>
          <w:rFonts w:ascii="Times New Roman" w:hAnsi="Times New Roman" w:cs="Times New Roman"/>
          <w:i/>
          <w:iCs/>
          <w:sz w:val="24"/>
          <w:szCs w:val="24"/>
        </w:rPr>
        <w:t>Domestic Space in the Roman World: Pompeii and Beyond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53642D" w14:textId="77777777" w:rsidR="00F82205" w:rsidRPr="00FC780B" w:rsidRDefault="00F82205" w:rsidP="00C169B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Portsmouth, 1997</w:t>
      </w:r>
      <w:r w:rsidRPr="00FC7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36FE2C" w14:textId="77777777" w:rsidR="00F82205" w:rsidRPr="00FC780B" w:rsidRDefault="00F82205" w:rsidP="00F82205">
      <w:pPr>
        <w:rPr>
          <w:rFonts w:ascii="Times New Roman" w:hAnsi="Times New Roman" w:cs="Times New Roman"/>
          <w:sz w:val="24"/>
          <w:szCs w:val="24"/>
        </w:rPr>
      </w:pPr>
    </w:p>
    <w:p w14:paraId="29C1A013" w14:textId="77777777" w:rsidR="00F82205" w:rsidRPr="00F82205" w:rsidRDefault="00F82205" w:rsidP="00456F42">
      <w:pPr>
        <w:rPr>
          <w:rFonts w:ascii="Times New Roman" w:hAnsi="Times New Roman" w:cs="Times New Roman"/>
          <w:sz w:val="24"/>
          <w:szCs w:val="24"/>
        </w:rPr>
      </w:pPr>
    </w:p>
    <w:sectPr w:rsidR="00F82205" w:rsidRPr="00F8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2"/>
    <w:rsid w:val="001369E9"/>
    <w:rsid w:val="002F7474"/>
    <w:rsid w:val="00456F42"/>
    <w:rsid w:val="007A64B1"/>
    <w:rsid w:val="00B868C4"/>
    <w:rsid w:val="00C169BC"/>
    <w:rsid w:val="00D551A7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0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Emily M Sandquist</cp:lastModifiedBy>
  <cp:revision>3</cp:revision>
  <dcterms:created xsi:type="dcterms:W3CDTF">2011-09-22T12:52:00Z</dcterms:created>
  <dcterms:modified xsi:type="dcterms:W3CDTF">2011-09-30T15:39:00Z</dcterms:modified>
</cp:coreProperties>
</file>