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D18EF" w14:textId="77777777" w:rsidR="00456F42" w:rsidRPr="00F82205" w:rsidRDefault="00D551A7" w:rsidP="00F8220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2205">
        <w:rPr>
          <w:rFonts w:ascii="Times New Roman" w:hAnsi="Times New Roman" w:cs="Times New Roman"/>
          <w:sz w:val="24"/>
          <w:szCs w:val="24"/>
        </w:rPr>
        <w:t xml:space="preserve">The Atrium </w:t>
      </w:r>
      <w:r>
        <w:rPr>
          <w:rFonts w:ascii="Times New Roman" w:hAnsi="Times New Roman" w:cs="Times New Roman"/>
          <w:sz w:val="24"/>
          <w:szCs w:val="24"/>
        </w:rPr>
        <w:t>and the Elite: Models of Space i</w:t>
      </w:r>
      <w:r w:rsidRPr="00F82205">
        <w:rPr>
          <w:rFonts w:ascii="Times New Roman" w:hAnsi="Times New Roman" w:cs="Times New Roman"/>
          <w:sz w:val="24"/>
          <w:szCs w:val="24"/>
        </w:rPr>
        <w:t>n Latin Literature</w:t>
      </w:r>
    </w:p>
    <w:p w14:paraId="61E265A9" w14:textId="77777777" w:rsidR="00456F42" w:rsidRPr="00F82205" w:rsidRDefault="00456F42" w:rsidP="00456F42">
      <w:pPr>
        <w:rPr>
          <w:rFonts w:ascii="Times New Roman" w:hAnsi="Times New Roman" w:cs="Times New Roman"/>
          <w:sz w:val="24"/>
          <w:szCs w:val="24"/>
        </w:rPr>
      </w:pPr>
    </w:p>
    <w:p w14:paraId="4562E042" w14:textId="77777777" w:rsidR="00456F42" w:rsidRPr="00F82205" w:rsidRDefault="00456F42" w:rsidP="00456F4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82205">
        <w:rPr>
          <w:rFonts w:ascii="Times New Roman" w:hAnsi="Times New Roman" w:cs="Times New Roman"/>
          <w:sz w:val="24"/>
          <w:szCs w:val="24"/>
        </w:rPr>
        <w:t>The study of space in literature and the archaeological record has been a matter of much</w:t>
      </w:r>
    </w:p>
    <w:p w14:paraId="7D4211F9" w14:textId="77777777" w:rsidR="00456F42" w:rsidRPr="00F82205" w:rsidRDefault="00456F42" w:rsidP="00456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2205">
        <w:rPr>
          <w:rFonts w:ascii="Times New Roman" w:hAnsi="Times New Roman" w:cs="Times New Roman"/>
          <w:sz w:val="24"/>
          <w:szCs w:val="24"/>
        </w:rPr>
        <w:t>recent</w:t>
      </w:r>
      <w:proofErr w:type="gramEnd"/>
      <w:r w:rsidRPr="00F82205">
        <w:rPr>
          <w:rFonts w:ascii="Times New Roman" w:hAnsi="Times New Roman" w:cs="Times New Roman"/>
          <w:sz w:val="24"/>
          <w:szCs w:val="24"/>
        </w:rPr>
        <w:t xml:space="preserve"> scholarship and frequent debate. Scholars have approached the </w:t>
      </w:r>
      <w:proofErr w:type="gramStart"/>
      <w:r w:rsidRPr="00F82205">
        <w:rPr>
          <w:rFonts w:ascii="Times New Roman" w:hAnsi="Times New Roman" w:cs="Times New Roman"/>
          <w:sz w:val="24"/>
          <w:szCs w:val="24"/>
        </w:rPr>
        <w:t>topic using</w:t>
      </w:r>
      <w:proofErr w:type="gramEnd"/>
      <w:r w:rsidRPr="00F82205">
        <w:rPr>
          <w:rFonts w:ascii="Times New Roman" w:hAnsi="Times New Roman" w:cs="Times New Roman"/>
          <w:sz w:val="24"/>
          <w:szCs w:val="24"/>
        </w:rPr>
        <w:t xml:space="preserve"> close</w:t>
      </w:r>
    </w:p>
    <w:p w14:paraId="6AB88107" w14:textId="77777777" w:rsidR="00456F42" w:rsidRPr="00F82205" w:rsidRDefault="00456F42" w:rsidP="00456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2205">
        <w:rPr>
          <w:rFonts w:ascii="Times New Roman" w:hAnsi="Times New Roman" w:cs="Times New Roman"/>
          <w:sz w:val="24"/>
          <w:szCs w:val="24"/>
        </w:rPr>
        <w:t>philological</w:t>
      </w:r>
      <w:proofErr w:type="gramEnd"/>
      <w:r w:rsidRPr="00F82205">
        <w:rPr>
          <w:rFonts w:ascii="Times New Roman" w:hAnsi="Times New Roman" w:cs="Times New Roman"/>
          <w:sz w:val="24"/>
          <w:szCs w:val="24"/>
        </w:rPr>
        <w:t xml:space="preserve"> study, cognitive psychology, and archaeological methods but have been limited by</w:t>
      </w:r>
    </w:p>
    <w:p w14:paraId="433AE83F" w14:textId="77777777" w:rsidR="00456F42" w:rsidRPr="00F82205" w:rsidRDefault="00456F42" w:rsidP="00456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2205">
        <w:rPr>
          <w:rFonts w:ascii="Times New Roman" w:hAnsi="Times New Roman" w:cs="Times New Roman"/>
          <w:sz w:val="24"/>
          <w:szCs w:val="24"/>
        </w:rPr>
        <w:t>both</w:t>
      </w:r>
      <w:proofErr w:type="gramEnd"/>
      <w:r w:rsidRPr="00F82205">
        <w:rPr>
          <w:rFonts w:ascii="Times New Roman" w:hAnsi="Times New Roman" w:cs="Times New Roman"/>
          <w:sz w:val="24"/>
          <w:szCs w:val="24"/>
        </w:rPr>
        <w:t xml:space="preserve"> the paucity of archaeological material from domestic contexts and few examples of insights</w:t>
      </w:r>
    </w:p>
    <w:p w14:paraId="45EC98A5" w14:textId="77777777" w:rsidR="00456F42" w:rsidRPr="00F82205" w:rsidRDefault="00456F42" w:rsidP="00456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2205">
        <w:rPr>
          <w:rFonts w:ascii="Times New Roman" w:hAnsi="Times New Roman" w:cs="Times New Roman"/>
          <w:sz w:val="24"/>
          <w:szCs w:val="24"/>
        </w:rPr>
        <w:t>into</w:t>
      </w:r>
      <w:proofErr w:type="gramEnd"/>
      <w:r w:rsidRPr="00F82205">
        <w:rPr>
          <w:rFonts w:ascii="Times New Roman" w:hAnsi="Times New Roman" w:cs="Times New Roman"/>
          <w:sz w:val="24"/>
          <w:szCs w:val="24"/>
        </w:rPr>
        <w:t xml:space="preserve"> the Roman conception of space in the literature. Many scholars have readily applied</w:t>
      </w:r>
    </w:p>
    <w:p w14:paraId="20A8D107" w14:textId="77777777" w:rsidR="00456F42" w:rsidRPr="00F82205" w:rsidRDefault="00456F42" w:rsidP="00456F42">
      <w:pPr>
        <w:rPr>
          <w:rFonts w:ascii="Times New Roman" w:hAnsi="Times New Roman" w:cs="Times New Roman"/>
          <w:sz w:val="24"/>
          <w:szCs w:val="24"/>
        </w:rPr>
      </w:pPr>
      <w:r w:rsidRPr="00F82205">
        <w:rPr>
          <w:rFonts w:ascii="Times New Roman" w:hAnsi="Times New Roman" w:cs="Times New Roman"/>
          <w:sz w:val="24"/>
          <w:szCs w:val="24"/>
        </w:rPr>
        <w:t xml:space="preserve">Vitruvian derived room names, such as the </w:t>
      </w:r>
      <w:r w:rsidRPr="00F82205">
        <w:rPr>
          <w:rFonts w:ascii="Times New Roman" w:hAnsi="Times New Roman" w:cs="Times New Roman"/>
          <w:i/>
          <w:sz w:val="24"/>
          <w:szCs w:val="24"/>
        </w:rPr>
        <w:t>atrium</w:t>
      </w:r>
      <w:r w:rsidRPr="00F82205">
        <w:rPr>
          <w:rFonts w:ascii="Times New Roman" w:hAnsi="Times New Roman" w:cs="Times New Roman"/>
          <w:sz w:val="24"/>
          <w:szCs w:val="24"/>
        </w:rPr>
        <w:t>, to domestic spaces that seem to correlate with</w:t>
      </w:r>
    </w:p>
    <w:p w14:paraId="0767C047" w14:textId="77777777" w:rsidR="00456F42" w:rsidRPr="00F82205" w:rsidRDefault="00456F42" w:rsidP="00456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2205">
        <w:rPr>
          <w:rFonts w:ascii="Times New Roman" w:hAnsi="Times New Roman" w:cs="Times New Roman"/>
          <w:sz w:val="24"/>
          <w:szCs w:val="24"/>
        </w:rPr>
        <w:t>Vitruvius’ descriptions.</w:t>
      </w:r>
      <w:proofErr w:type="gramEnd"/>
      <w:r w:rsidRPr="00F82205">
        <w:rPr>
          <w:rFonts w:ascii="Times New Roman" w:hAnsi="Times New Roman" w:cs="Times New Roman"/>
          <w:sz w:val="24"/>
          <w:szCs w:val="24"/>
        </w:rPr>
        <w:t xml:space="preserve"> Others have argued for a complete dismissal of all room nomenclature in</w:t>
      </w:r>
    </w:p>
    <w:p w14:paraId="32482941" w14:textId="77777777" w:rsidR="00456F42" w:rsidRPr="00F82205" w:rsidRDefault="00456F42" w:rsidP="00456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2205">
        <w:rPr>
          <w:rFonts w:ascii="Times New Roman" w:hAnsi="Times New Roman" w:cs="Times New Roman"/>
          <w:sz w:val="24"/>
          <w:szCs w:val="24"/>
        </w:rPr>
        <w:t>favor</w:t>
      </w:r>
      <w:proofErr w:type="gramEnd"/>
      <w:r w:rsidRPr="00F82205">
        <w:rPr>
          <w:rFonts w:ascii="Times New Roman" w:hAnsi="Times New Roman" w:cs="Times New Roman"/>
          <w:sz w:val="24"/>
          <w:szCs w:val="24"/>
        </w:rPr>
        <w:t xml:space="preserve"> of one based </w:t>
      </w:r>
      <w:r w:rsidR="007A64B1">
        <w:rPr>
          <w:rFonts w:ascii="Times New Roman" w:hAnsi="Times New Roman" w:cs="Times New Roman"/>
          <w:sz w:val="24"/>
          <w:szCs w:val="24"/>
        </w:rPr>
        <w:t xml:space="preserve">only </w:t>
      </w:r>
      <w:r w:rsidRPr="00F82205">
        <w:rPr>
          <w:rFonts w:ascii="Times New Roman" w:hAnsi="Times New Roman" w:cs="Times New Roman"/>
          <w:sz w:val="24"/>
          <w:szCs w:val="24"/>
        </w:rPr>
        <w:t>on room assemblages and other archaeological material. This paper</w:t>
      </w:r>
    </w:p>
    <w:p w14:paraId="156364B4" w14:textId="77777777" w:rsidR="00456F42" w:rsidRPr="00F82205" w:rsidRDefault="00456F42" w:rsidP="00456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2205">
        <w:rPr>
          <w:rFonts w:ascii="Times New Roman" w:hAnsi="Times New Roman" w:cs="Times New Roman"/>
          <w:sz w:val="24"/>
          <w:szCs w:val="24"/>
        </w:rPr>
        <w:t>combines</w:t>
      </w:r>
      <w:proofErr w:type="gramEnd"/>
      <w:r w:rsidRPr="00F82205">
        <w:rPr>
          <w:rFonts w:ascii="Times New Roman" w:hAnsi="Times New Roman" w:cs="Times New Roman"/>
          <w:sz w:val="24"/>
          <w:szCs w:val="24"/>
        </w:rPr>
        <w:t xml:space="preserve"> both philological and archaeological approaches in order to analyze the cognitive</w:t>
      </w:r>
    </w:p>
    <w:p w14:paraId="211B08D0" w14:textId="77777777" w:rsidR="00456F42" w:rsidRPr="00F82205" w:rsidRDefault="00F82205" w:rsidP="00456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2205">
        <w:rPr>
          <w:rFonts w:ascii="Times New Roman" w:hAnsi="Times New Roman" w:cs="Times New Roman"/>
          <w:sz w:val="24"/>
          <w:szCs w:val="24"/>
        </w:rPr>
        <w:t>associations</w:t>
      </w:r>
      <w:proofErr w:type="gramEnd"/>
      <w:r w:rsidRPr="00F82205">
        <w:rPr>
          <w:rFonts w:ascii="Times New Roman" w:hAnsi="Times New Roman" w:cs="Times New Roman"/>
          <w:sz w:val="24"/>
          <w:szCs w:val="24"/>
        </w:rPr>
        <w:t xml:space="preserve"> of Roman authors </w:t>
      </w:r>
      <w:r w:rsidR="00456F42" w:rsidRPr="00F82205">
        <w:rPr>
          <w:rFonts w:ascii="Times New Roman" w:hAnsi="Times New Roman" w:cs="Times New Roman"/>
          <w:sz w:val="24"/>
          <w:szCs w:val="24"/>
        </w:rPr>
        <w:t xml:space="preserve">with the </w:t>
      </w:r>
      <w:r w:rsidR="00456F42" w:rsidRPr="00F82205">
        <w:rPr>
          <w:rFonts w:ascii="Times New Roman" w:hAnsi="Times New Roman" w:cs="Times New Roman"/>
          <w:i/>
          <w:sz w:val="24"/>
          <w:szCs w:val="24"/>
        </w:rPr>
        <w:t>atrium</w:t>
      </w:r>
      <w:r w:rsidR="00456F42" w:rsidRPr="00F82205">
        <w:rPr>
          <w:rFonts w:ascii="Times New Roman" w:hAnsi="Times New Roman" w:cs="Times New Roman"/>
          <w:sz w:val="24"/>
          <w:szCs w:val="24"/>
        </w:rPr>
        <w:t xml:space="preserve"> in Latin literature. To do this, I located and</w:t>
      </w:r>
    </w:p>
    <w:p w14:paraId="252DC89D" w14:textId="77777777" w:rsidR="00456F42" w:rsidRPr="00F82205" w:rsidRDefault="00456F42" w:rsidP="00456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2205">
        <w:rPr>
          <w:rFonts w:ascii="Times New Roman" w:hAnsi="Times New Roman" w:cs="Times New Roman"/>
          <w:sz w:val="24"/>
          <w:szCs w:val="24"/>
        </w:rPr>
        <w:t>analyzed</w:t>
      </w:r>
      <w:proofErr w:type="gramEnd"/>
      <w:r w:rsidRPr="00F82205">
        <w:rPr>
          <w:rFonts w:ascii="Times New Roman" w:hAnsi="Times New Roman" w:cs="Times New Roman"/>
          <w:sz w:val="24"/>
          <w:szCs w:val="24"/>
        </w:rPr>
        <w:t xml:space="preserve"> every occurrence of </w:t>
      </w:r>
      <w:r w:rsidRPr="00F82205">
        <w:rPr>
          <w:rFonts w:ascii="Times New Roman" w:hAnsi="Times New Roman" w:cs="Times New Roman"/>
          <w:i/>
          <w:sz w:val="24"/>
          <w:szCs w:val="24"/>
        </w:rPr>
        <w:t>atrium</w:t>
      </w:r>
      <w:r w:rsidRPr="00F82205">
        <w:rPr>
          <w:rFonts w:ascii="Times New Roman" w:hAnsi="Times New Roman" w:cs="Times New Roman"/>
          <w:sz w:val="24"/>
          <w:szCs w:val="24"/>
        </w:rPr>
        <w:t xml:space="preserve"> in Latin literature. I then grouped every reference to the</w:t>
      </w:r>
    </w:p>
    <w:p w14:paraId="6875F996" w14:textId="77777777" w:rsidR="00456F42" w:rsidRPr="00F82205" w:rsidRDefault="00456F42" w:rsidP="00456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2205">
        <w:rPr>
          <w:rFonts w:ascii="Times New Roman" w:hAnsi="Times New Roman" w:cs="Times New Roman"/>
          <w:i/>
          <w:sz w:val="24"/>
          <w:szCs w:val="24"/>
        </w:rPr>
        <w:t>atrium</w:t>
      </w:r>
      <w:proofErr w:type="gramEnd"/>
      <w:r w:rsidRPr="00F82205">
        <w:rPr>
          <w:rFonts w:ascii="Times New Roman" w:hAnsi="Times New Roman" w:cs="Times New Roman"/>
          <w:sz w:val="24"/>
          <w:szCs w:val="24"/>
        </w:rPr>
        <w:t xml:space="preserve"> into patterns of association that included: the </w:t>
      </w:r>
      <w:r w:rsidRPr="00F82205">
        <w:rPr>
          <w:rFonts w:ascii="Times New Roman" w:hAnsi="Times New Roman" w:cs="Times New Roman"/>
          <w:i/>
          <w:sz w:val="24"/>
          <w:szCs w:val="24"/>
        </w:rPr>
        <w:t>atrium</w:t>
      </w:r>
      <w:r w:rsidRPr="00F82205">
        <w:rPr>
          <w:rFonts w:ascii="Times New Roman" w:hAnsi="Times New Roman" w:cs="Times New Roman"/>
          <w:sz w:val="24"/>
          <w:szCs w:val="24"/>
        </w:rPr>
        <w:t xml:space="preserve"> as a place of ritual, a place of luxury,</w:t>
      </w:r>
    </w:p>
    <w:p w14:paraId="10F4E56F" w14:textId="77777777" w:rsidR="00456F42" w:rsidRPr="00F82205" w:rsidRDefault="00456F42" w:rsidP="00456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2205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F82205">
        <w:rPr>
          <w:rFonts w:ascii="Times New Roman" w:hAnsi="Times New Roman" w:cs="Times New Roman"/>
          <w:sz w:val="24"/>
          <w:szCs w:val="24"/>
        </w:rPr>
        <w:t xml:space="preserve"> a place of conquest. These associations indicate that the conception of the </w:t>
      </w:r>
      <w:r w:rsidRPr="00F82205">
        <w:rPr>
          <w:rFonts w:ascii="Times New Roman" w:hAnsi="Times New Roman" w:cs="Times New Roman"/>
          <w:i/>
          <w:sz w:val="24"/>
          <w:szCs w:val="24"/>
        </w:rPr>
        <w:t>atrium</w:t>
      </w:r>
    </w:p>
    <w:p w14:paraId="1E12830E" w14:textId="77777777" w:rsidR="00456F42" w:rsidRPr="00F82205" w:rsidRDefault="00C169BC" w:rsidP="00456F4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upper </w:t>
      </w:r>
      <w:r w:rsidR="00456F42" w:rsidRPr="00F82205">
        <w:rPr>
          <w:rFonts w:ascii="Times New Roman" w:hAnsi="Times New Roman" w:cs="Times New Roman"/>
          <w:sz w:val="24"/>
          <w:szCs w:val="24"/>
        </w:rPr>
        <w:t>class phenomenon and appears only in very specific socioeconomic contexts. This</w:t>
      </w:r>
    </w:p>
    <w:p w14:paraId="473A7E9C" w14:textId="77777777" w:rsidR="00456F42" w:rsidRPr="00F82205" w:rsidRDefault="00456F42" w:rsidP="00456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2205">
        <w:rPr>
          <w:rFonts w:ascii="Times New Roman" w:hAnsi="Times New Roman" w:cs="Times New Roman"/>
          <w:sz w:val="24"/>
          <w:szCs w:val="24"/>
        </w:rPr>
        <w:t>evidence</w:t>
      </w:r>
      <w:proofErr w:type="gramEnd"/>
      <w:r w:rsidRPr="00F82205">
        <w:rPr>
          <w:rFonts w:ascii="Times New Roman" w:hAnsi="Times New Roman" w:cs="Times New Roman"/>
          <w:sz w:val="24"/>
          <w:szCs w:val="24"/>
        </w:rPr>
        <w:t xml:space="preserve"> demonstrates the need to separate the </w:t>
      </w:r>
      <w:r w:rsidRPr="00F82205">
        <w:rPr>
          <w:rFonts w:ascii="Times New Roman" w:hAnsi="Times New Roman" w:cs="Times New Roman"/>
          <w:i/>
          <w:sz w:val="24"/>
          <w:szCs w:val="24"/>
        </w:rPr>
        <w:t>atrium</w:t>
      </w:r>
      <w:r w:rsidRPr="00F82205">
        <w:rPr>
          <w:rFonts w:ascii="Times New Roman" w:hAnsi="Times New Roman" w:cs="Times New Roman"/>
          <w:sz w:val="24"/>
          <w:szCs w:val="24"/>
        </w:rPr>
        <w:t xml:space="preserve"> nomenclature for this space, and all of the</w:t>
      </w:r>
    </w:p>
    <w:p w14:paraId="2A180E4D" w14:textId="77777777" w:rsidR="00456F42" w:rsidRPr="00F82205" w:rsidRDefault="00456F42" w:rsidP="00456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2205">
        <w:rPr>
          <w:rFonts w:ascii="Times New Roman" w:hAnsi="Times New Roman" w:cs="Times New Roman"/>
          <w:sz w:val="24"/>
          <w:szCs w:val="24"/>
        </w:rPr>
        <w:t>cognitive</w:t>
      </w:r>
      <w:proofErr w:type="gramEnd"/>
      <w:r w:rsidRPr="00F82205">
        <w:rPr>
          <w:rFonts w:ascii="Times New Roman" w:hAnsi="Times New Roman" w:cs="Times New Roman"/>
          <w:sz w:val="24"/>
          <w:szCs w:val="24"/>
        </w:rPr>
        <w:t xml:space="preserve"> associations that go with it, from the archaeological term for the ‘</w:t>
      </w:r>
      <w:r w:rsidRPr="00F82205">
        <w:rPr>
          <w:rFonts w:ascii="Times New Roman" w:hAnsi="Times New Roman" w:cs="Times New Roman"/>
          <w:i/>
          <w:sz w:val="24"/>
          <w:szCs w:val="24"/>
        </w:rPr>
        <w:t>atrium</w:t>
      </w:r>
      <w:r w:rsidRPr="00F82205">
        <w:rPr>
          <w:rFonts w:ascii="Times New Roman" w:hAnsi="Times New Roman" w:cs="Times New Roman"/>
          <w:sz w:val="24"/>
          <w:szCs w:val="24"/>
        </w:rPr>
        <w:t>’ as a 'front</w:t>
      </w:r>
    </w:p>
    <w:p w14:paraId="77E95B76" w14:textId="77777777" w:rsidR="00456F42" w:rsidRPr="00F82205" w:rsidRDefault="00456F42" w:rsidP="00456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2205">
        <w:rPr>
          <w:rFonts w:ascii="Times New Roman" w:hAnsi="Times New Roman" w:cs="Times New Roman"/>
          <w:sz w:val="24"/>
          <w:szCs w:val="24"/>
        </w:rPr>
        <w:t>hall'</w:t>
      </w:r>
      <w:proofErr w:type="gramEnd"/>
      <w:r w:rsidRPr="00F82205">
        <w:rPr>
          <w:rFonts w:ascii="Times New Roman" w:hAnsi="Times New Roman" w:cs="Times New Roman"/>
          <w:sz w:val="24"/>
          <w:szCs w:val="24"/>
        </w:rPr>
        <w:t xml:space="preserve">. The </w:t>
      </w:r>
      <w:r w:rsidRPr="00F82205">
        <w:rPr>
          <w:rFonts w:ascii="Times New Roman" w:hAnsi="Times New Roman" w:cs="Times New Roman"/>
          <w:i/>
          <w:sz w:val="24"/>
          <w:szCs w:val="24"/>
        </w:rPr>
        <w:t>atrium</w:t>
      </w:r>
      <w:r w:rsidRPr="00F82205">
        <w:rPr>
          <w:rFonts w:ascii="Times New Roman" w:hAnsi="Times New Roman" w:cs="Times New Roman"/>
          <w:sz w:val="24"/>
          <w:szCs w:val="24"/>
        </w:rPr>
        <w:t xml:space="preserve"> is not just any front room but a specific room where particular rituals and</w:t>
      </w:r>
    </w:p>
    <w:p w14:paraId="4E66C69C" w14:textId="77777777" w:rsidR="00456F42" w:rsidRPr="00F82205" w:rsidRDefault="00F82205" w:rsidP="00456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2205">
        <w:rPr>
          <w:rFonts w:ascii="Times New Roman" w:hAnsi="Times New Roman" w:cs="Times New Roman"/>
          <w:sz w:val="24"/>
          <w:szCs w:val="24"/>
        </w:rPr>
        <w:t>activities</w:t>
      </w:r>
      <w:proofErr w:type="gramEnd"/>
      <w:r w:rsidRPr="00F82205">
        <w:rPr>
          <w:rFonts w:ascii="Times New Roman" w:hAnsi="Times New Roman" w:cs="Times New Roman"/>
          <w:sz w:val="24"/>
          <w:szCs w:val="24"/>
        </w:rPr>
        <w:t xml:space="preserve"> of the upper  </w:t>
      </w:r>
      <w:r w:rsidR="00456F42" w:rsidRPr="00F82205">
        <w:rPr>
          <w:rFonts w:ascii="Times New Roman" w:hAnsi="Times New Roman" w:cs="Times New Roman"/>
          <w:sz w:val="24"/>
          <w:szCs w:val="24"/>
        </w:rPr>
        <w:t>class occurred. This paper underscores the need to both problematize the</w:t>
      </w:r>
    </w:p>
    <w:p w14:paraId="57DE3B8B" w14:textId="77777777" w:rsidR="00456F42" w:rsidRPr="00F82205" w:rsidRDefault="00456F42" w:rsidP="00456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2205">
        <w:rPr>
          <w:rFonts w:ascii="Times New Roman" w:hAnsi="Times New Roman" w:cs="Times New Roman"/>
          <w:sz w:val="24"/>
          <w:szCs w:val="24"/>
        </w:rPr>
        <w:t>use</w:t>
      </w:r>
      <w:proofErr w:type="gramEnd"/>
      <w:r w:rsidRPr="00F82205">
        <w:rPr>
          <w:rFonts w:ascii="Times New Roman" w:hAnsi="Times New Roman" w:cs="Times New Roman"/>
          <w:sz w:val="24"/>
          <w:szCs w:val="24"/>
        </w:rPr>
        <w:t xml:space="preserve"> of Vitruvian room nomenclature as applied to room types and also carefully analyze the</w:t>
      </w:r>
    </w:p>
    <w:p w14:paraId="039F1A6B" w14:textId="77777777" w:rsidR="00456F42" w:rsidRPr="00F82205" w:rsidRDefault="00456F42" w:rsidP="00456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2205">
        <w:rPr>
          <w:rFonts w:ascii="Times New Roman" w:hAnsi="Times New Roman" w:cs="Times New Roman"/>
          <w:sz w:val="24"/>
          <w:szCs w:val="24"/>
        </w:rPr>
        <w:t>literary</w:t>
      </w:r>
      <w:proofErr w:type="gramEnd"/>
      <w:r w:rsidRPr="00F82205">
        <w:rPr>
          <w:rFonts w:ascii="Times New Roman" w:hAnsi="Times New Roman" w:cs="Times New Roman"/>
          <w:sz w:val="24"/>
          <w:szCs w:val="24"/>
        </w:rPr>
        <w:t xml:space="preserve"> record in order to discover cognitive associations that may not be present in the</w:t>
      </w:r>
    </w:p>
    <w:p w14:paraId="09C522F6" w14:textId="77777777" w:rsidR="00B868C4" w:rsidRDefault="00456F42" w:rsidP="00456F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2205">
        <w:rPr>
          <w:rFonts w:ascii="Times New Roman" w:hAnsi="Times New Roman" w:cs="Times New Roman"/>
          <w:sz w:val="24"/>
          <w:szCs w:val="24"/>
        </w:rPr>
        <w:t>archaeological</w:t>
      </w:r>
      <w:proofErr w:type="gramEnd"/>
      <w:r w:rsidRPr="00F82205">
        <w:rPr>
          <w:rFonts w:ascii="Times New Roman" w:hAnsi="Times New Roman" w:cs="Times New Roman"/>
          <w:sz w:val="24"/>
          <w:szCs w:val="24"/>
        </w:rPr>
        <w:t xml:space="preserve"> material.</w:t>
      </w:r>
    </w:p>
    <w:p w14:paraId="6ADAF1A9" w14:textId="77777777" w:rsidR="00F82205" w:rsidRDefault="00F82205" w:rsidP="00456F42">
      <w:pPr>
        <w:rPr>
          <w:rFonts w:ascii="Times New Roman" w:hAnsi="Times New Roman" w:cs="Times New Roman"/>
          <w:sz w:val="24"/>
          <w:szCs w:val="24"/>
        </w:rPr>
      </w:pPr>
    </w:p>
    <w:p w14:paraId="6C75C65F" w14:textId="77777777" w:rsidR="00F82205" w:rsidRDefault="00F82205" w:rsidP="00456F42">
      <w:pPr>
        <w:rPr>
          <w:rFonts w:ascii="Times New Roman" w:hAnsi="Times New Roman" w:cs="Times New Roman"/>
          <w:sz w:val="24"/>
          <w:szCs w:val="24"/>
        </w:rPr>
      </w:pPr>
    </w:p>
    <w:p w14:paraId="7D480C97" w14:textId="77777777" w:rsidR="00F82205" w:rsidRPr="00FC780B" w:rsidRDefault="00F82205" w:rsidP="00C16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Selecte</w:t>
      </w:r>
      <w:r w:rsidRPr="00FC780B">
        <w:rPr>
          <w:rFonts w:ascii="Times New Roman" w:hAnsi="Times New Roman" w:cs="Times New Roman"/>
          <w:sz w:val="24"/>
          <w:szCs w:val="24"/>
        </w:rPr>
        <w:t>d Works Cited</w:t>
      </w:r>
    </w:p>
    <w:p w14:paraId="5017F437" w14:textId="77777777" w:rsidR="00F82205" w:rsidRPr="00FC780B" w:rsidRDefault="00F82205" w:rsidP="00C169B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200C975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Allison, P. </w:t>
      </w:r>
      <w:r w:rsidRPr="00FC78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Pompeian Households:</w:t>
      </w:r>
      <w:r w:rsidRPr="00FC780B">
        <w:rPr>
          <w:rFonts w:ascii="Times New Roman" w:hAnsi="Times New Roman" w:cs="Times New Roman"/>
          <w:i/>
          <w:iCs/>
          <w:sz w:val="24"/>
          <w:szCs w:val="24"/>
        </w:rPr>
        <w:t xml:space="preserve"> An Analysis of the Material Culture</w:t>
      </w:r>
      <w:r w:rsidRPr="00FC780B">
        <w:rPr>
          <w:rFonts w:ascii="Times New Roman" w:hAnsi="Times New Roman" w:cs="Times New Roman"/>
          <w:sz w:val="24"/>
          <w:szCs w:val="24"/>
        </w:rPr>
        <w:t>. Los Angeles,</w:t>
      </w:r>
    </w:p>
    <w:p w14:paraId="333D616D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780B">
        <w:rPr>
          <w:rFonts w:ascii="Times New Roman" w:hAnsi="Times New Roman" w:cs="Times New Roman"/>
          <w:sz w:val="24"/>
          <w:szCs w:val="24"/>
        </w:rPr>
        <w:t>2004.</w:t>
      </w:r>
    </w:p>
    <w:p w14:paraId="54CF56DB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80B">
        <w:rPr>
          <w:rFonts w:ascii="Times New Roman" w:hAnsi="Times New Roman" w:cs="Times New Roman"/>
          <w:sz w:val="24"/>
          <w:szCs w:val="24"/>
        </w:rPr>
        <w:t>Allison, P. "</w:t>
      </w:r>
      <w:proofErr w:type="spellStart"/>
      <w:r w:rsidRPr="00FC780B">
        <w:rPr>
          <w:rFonts w:ascii="Times New Roman" w:hAnsi="Times New Roman" w:cs="Times New Roman"/>
          <w:sz w:val="24"/>
          <w:szCs w:val="24"/>
        </w:rPr>
        <w:t>Artefact</w:t>
      </w:r>
      <w:proofErr w:type="spellEnd"/>
      <w:r w:rsidRPr="00FC780B">
        <w:rPr>
          <w:rFonts w:ascii="Times New Roman" w:hAnsi="Times New Roman" w:cs="Times New Roman"/>
          <w:sz w:val="24"/>
          <w:szCs w:val="24"/>
        </w:rPr>
        <w:t xml:space="preserve"> Distribution and Spat</w:t>
      </w:r>
      <w:r>
        <w:rPr>
          <w:rFonts w:ascii="Times New Roman" w:hAnsi="Times New Roman" w:cs="Times New Roman"/>
          <w:sz w:val="24"/>
          <w:szCs w:val="24"/>
        </w:rPr>
        <w:t>ial Function in Pompeian Houses," i</w:t>
      </w:r>
      <w:r w:rsidRPr="00FC780B">
        <w:rPr>
          <w:rFonts w:ascii="Times New Roman" w:hAnsi="Times New Roman" w:cs="Times New Roman"/>
          <w:sz w:val="24"/>
          <w:szCs w:val="24"/>
        </w:rPr>
        <w:t>n B.</w:t>
      </w:r>
    </w:p>
    <w:p w14:paraId="3143FB9B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FC780B">
        <w:rPr>
          <w:rFonts w:ascii="Times New Roman" w:hAnsi="Times New Roman" w:cs="Times New Roman"/>
          <w:sz w:val="24"/>
          <w:szCs w:val="24"/>
        </w:rPr>
        <w:t>Rawson and P. Weaver, eds</w:t>
      </w:r>
      <w:proofErr w:type="gramStart"/>
      <w:r w:rsidRPr="00FC780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C780B">
        <w:rPr>
          <w:rFonts w:ascii="Times New Roman" w:hAnsi="Times New Roman" w:cs="Times New Roman"/>
          <w:sz w:val="24"/>
          <w:szCs w:val="24"/>
        </w:rPr>
        <w:t xml:space="preserve"> </w:t>
      </w:r>
      <w:r w:rsidRPr="00FC780B">
        <w:rPr>
          <w:rFonts w:ascii="Times New Roman" w:hAnsi="Times New Roman" w:cs="Times New Roman"/>
          <w:i/>
          <w:iCs/>
          <w:sz w:val="24"/>
          <w:szCs w:val="24"/>
        </w:rPr>
        <w:t>The Roman Family in Italy: Status, Sentiment, Space</w:t>
      </w:r>
    </w:p>
    <w:p w14:paraId="1818404E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C780B">
        <w:rPr>
          <w:rFonts w:ascii="Times New Roman" w:hAnsi="Times New Roman" w:cs="Times New Roman"/>
          <w:sz w:val="24"/>
          <w:szCs w:val="24"/>
        </w:rPr>
        <w:t>(Oxford, 1997) 321-54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5679F63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80B">
        <w:rPr>
          <w:rFonts w:ascii="Times New Roman" w:hAnsi="Times New Roman" w:cs="Times New Roman"/>
          <w:sz w:val="24"/>
          <w:szCs w:val="24"/>
        </w:rPr>
        <w:t>Bergmann, B. "The Roman House as Memory Theater: The House of the Tragic Poet in</w:t>
      </w:r>
    </w:p>
    <w:p w14:paraId="235A9BDE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Pompeii</w:t>
      </w:r>
      <w:r w:rsidRPr="00FC780B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Art Bulletin V. 76, No</w:t>
      </w:r>
      <w:r w:rsidRPr="00FC780B">
        <w:rPr>
          <w:rFonts w:ascii="Times New Roman" w:hAnsi="Times New Roman" w:cs="Times New Roman"/>
          <w:sz w:val="24"/>
          <w:szCs w:val="24"/>
        </w:rPr>
        <w:t>. 2 (1994) 225-56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61A53B6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80B">
        <w:rPr>
          <w:rFonts w:ascii="Times New Roman" w:hAnsi="Times New Roman" w:cs="Times New Roman"/>
          <w:sz w:val="24"/>
          <w:szCs w:val="24"/>
        </w:rPr>
        <w:t xml:space="preserve">Berry, J. "Household </w:t>
      </w:r>
      <w:proofErr w:type="spellStart"/>
      <w:r w:rsidRPr="00FC780B">
        <w:rPr>
          <w:rFonts w:ascii="Times New Roman" w:hAnsi="Times New Roman" w:cs="Times New Roman"/>
          <w:sz w:val="24"/>
          <w:szCs w:val="24"/>
        </w:rPr>
        <w:t>Artefacts</w:t>
      </w:r>
      <w:proofErr w:type="spellEnd"/>
      <w:r w:rsidRPr="00FC780B">
        <w:rPr>
          <w:rFonts w:ascii="Times New Roman" w:hAnsi="Times New Roman" w:cs="Times New Roman"/>
          <w:sz w:val="24"/>
          <w:szCs w:val="24"/>
        </w:rPr>
        <w:t>: Towards a Reinterpretation of Roman Domestic Space,"</w:t>
      </w:r>
    </w:p>
    <w:p w14:paraId="1B0A5293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FC780B">
        <w:rPr>
          <w:rFonts w:ascii="Times New Roman" w:hAnsi="Times New Roman" w:cs="Times New Roman"/>
          <w:sz w:val="24"/>
          <w:szCs w:val="24"/>
        </w:rPr>
        <w:t xml:space="preserve"> R. Laurence and A. Wallace-</w:t>
      </w:r>
      <w:proofErr w:type="spellStart"/>
      <w:r w:rsidRPr="00FC780B">
        <w:rPr>
          <w:rFonts w:ascii="Times New Roman" w:hAnsi="Times New Roman" w:cs="Times New Roman"/>
          <w:sz w:val="24"/>
          <w:szCs w:val="24"/>
        </w:rPr>
        <w:t>Hadrill</w:t>
      </w:r>
      <w:proofErr w:type="spellEnd"/>
      <w:r w:rsidRPr="00FC780B">
        <w:rPr>
          <w:rFonts w:ascii="Times New Roman" w:hAnsi="Times New Roman" w:cs="Times New Roman"/>
          <w:sz w:val="24"/>
          <w:szCs w:val="24"/>
        </w:rPr>
        <w:t xml:space="preserve">, eds., </w:t>
      </w:r>
      <w:r w:rsidRPr="00FC780B">
        <w:rPr>
          <w:rFonts w:ascii="Times New Roman" w:hAnsi="Times New Roman" w:cs="Times New Roman"/>
          <w:i/>
          <w:iCs/>
          <w:sz w:val="24"/>
          <w:szCs w:val="24"/>
        </w:rPr>
        <w:t>Domestic Space in the Roman</w:t>
      </w:r>
    </w:p>
    <w:p w14:paraId="760E82A1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780B">
        <w:rPr>
          <w:rFonts w:ascii="Times New Roman" w:hAnsi="Times New Roman" w:cs="Times New Roman"/>
          <w:i/>
          <w:iCs/>
          <w:sz w:val="24"/>
          <w:szCs w:val="24"/>
        </w:rPr>
        <w:t xml:space="preserve">World: Pompeii and Beyond </w:t>
      </w:r>
      <w:r w:rsidRPr="00FC780B">
        <w:rPr>
          <w:rFonts w:ascii="Times New Roman" w:hAnsi="Times New Roman" w:cs="Times New Roman"/>
          <w:sz w:val="24"/>
          <w:szCs w:val="24"/>
        </w:rPr>
        <w:t>(Portsmouth, 1997).</w:t>
      </w:r>
    </w:p>
    <w:p w14:paraId="25B6414B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C780B">
        <w:rPr>
          <w:rFonts w:ascii="Times New Roman" w:hAnsi="Times New Roman" w:cs="Times New Roman"/>
          <w:sz w:val="24"/>
          <w:szCs w:val="24"/>
        </w:rPr>
        <w:t xml:space="preserve">Flower, H. </w:t>
      </w:r>
      <w:r w:rsidRPr="00FC780B">
        <w:rPr>
          <w:rFonts w:ascii="Times New Roman" w:hAnsi="Times New Roman" w:cs="Times New Roman"/>
          <w:i/>
          <w:iCs/>
          <w:sz w:val="24"/>
          <w:szCs w:val="24"/>
        </w:rPr>
        <w:t>Ancestor Masks and Aristocratic Power in Roman Culture</w:t>
      </w:r>
      <w:r w:rsidRPr="00FC78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7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780B">
        <w:rPr>
          <w:rFonts w:ascii="Times New Roman" w:hAnsi="Times New Roman" w:cs="Times New Roman"/>
          <w:sz w:val="24"/>
          <w:szCs w:val="24"/>
        </w:rPr>
        <w:t>Oxford, 1996.</w:t>
      </w:r>
      <w:proofErr w:type="gramEnd"/>
    </w:p>
    <w:p w14:paraId="5BF395D0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80B">
        <w:rPr>
          <w:rFonts w:ascii="Times New Roman" w:hAnsi="Times New Roman" w:cs="Times New Roman"/>
          <w:sz w:val="24"/>
          <w:szCs w:val="24"/>
        </w:rPr>
        <w:t xml:space="preserve">Gardner, J.G., and T. </w:t>
      </w:r>
      <w:proofErr w:type="spellStart"/>
      <w:r w:rsidRPr="00FC780B">
        <w:rPr>
          <w:rFonts w:ascii="Times New Roman" w:hAnsi="Times New Roman" w:cs="Times New Roman"/>
          <w:sz w:val="24"/>
          <w:szCs w:val="24"/>
        </w:rPr>
        <w:t>Wiedemann</w:t>
      </w:r>
      <w:proofErr w:type="spellEnd"/>
      <w:r w:rsidRPr="00FC780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C780B">
        <w:rPr>
          <w:rFonts w:ascii="Times New Roman" w:hAnsi="Times New Roman" w:cs="Times New Roman"/>
          <w:sz w:val="24"/>
          <w:szCs w:val="24"/>
        </w:rPr>
        <w:t>eds</w:t>
      </w:r>
      <w:proofErr w:type="gramEnd"/>
      <w:r w:rsidRPr="00FC780B">
        <w:rPr>
          <w:rFonts w:ascii="Times New Roman" w:hAnsi="Times New Roman" w:cs="Times New Roman"/>
          <w:sz w:val="24"/>
          <w:szCs w:val="24"/>
        </w:rPr>
        <w:t xml:space="preserve">. </w:t>
      </w:r>
      <w:r w:rsidRPr="00FC780B">
        <w:rPr>
          <w:rFonts w:ascii="Times New Roman" w:hAnsi="Times New Roman" w:cs="Times New Roman"/>
          <w:i/>
          <w:iCs/>
          <w:sz w:val="24"/>
          <w:szCs w:val="24"/>
        </w:rPr>
        <w:t>The Roman Household: A Sourcebook</w:t>
      </w:r>
      <w:r w:rsidRPr="00FC780B">
        <w:rPr>
          <w:rFonts w:ascii="Times New Roman" w:hAnsi="Times New Roman" w:cs="Times New Roman"/>
          <w:sz w:val="24"/>
          <w:szCs w:val="24"/>
        </w:rPr>
        <w:t>. London,</w:t>
      </w:r>
    </w:p>
    <w:p w14:paraId="2AC735EA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780B">
        <w:rPr>
          <w:rFonts w:ascii="Times New Roman" w:hAnsi="Times New Roman" w:cs="Times New Roman"/>
          <w:sz w:val="24"/>
          <w:szCs w:val="24"/>
        </w:rPr>
        <w:t>1991.</w:t>
      </w:r>
    </w:p>
    <w:p w14:paraId="376C1452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780B">
        <w:rPr>
          <w:rFonts w:ascii="Times New Roman" w:hAnsi="Times New Roman" w:cs="Times New Roman"/>
          <w:sz w:val="24"/>
          <w:szCs w:val="24"/>
        </w:rPr>
        <w:t>Grahame, M. "Public and Private in the Roman House: Investigating the Social Order of</w:t>
      </w:r>
    </w:p>
    <w:p w14:paraId="48545E1D" w14:textId="77777777" w:rsidR="00F82205" w:rsidRPr="00380DEE" w:rsidRDefault="00F82205" w:rsidP="00C169BC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FC780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C780B">
        <w:rPr>
          <w:rFonts w:ascii="Times New Roman" w:hAnsi="Times New Roman" w:cs="Times New Roman"/>
          <w:sz w:val="24"/>
          <w:szCs w:val="24"/>
        </w:rPr>
        <w:t xml:space="preserve"> Casa del </w:t>
      </w:r>
      <w:proofErr w:type="spellStart"/>
      <w:r w:rsidRPr="00FC780B">
        <w:rPr>
          <w:rFonts w:ascii="Times New Roman" w:hAnsi="Times New Roman" w:cs="Times New Roman"/>
          <w:sz w:val="24"/>
          <w:szCs w:val="24"/>
        </w:rPr>
        <w:t>Fauno</w:t>
      </w:r>
      <w:proofErr w:type="spellEnd"/>
      <w:r w:rsidRPr="00FC780B">
        <w:rPr>
          <w:rFonts w:ascii="Times New Roman" w:hAnsi="Times New Roman" w:cs="Times New Roman"/>
          <w:sz w:val="24"/>
          <w:szCs w:val="24"/>
        </w:rPr>
        <w:t>," in R. Laurence and A. Wallace-</w:t>
      </w:r>
      <w:proofErr w:type="spellStart"/>
      <w:r w:rsidRPr="00FC780B">
        <w:rPr>
          <w:rFonts w:ascii="Times New Roman" w:hAnsi="Times New Roman" w:cs="Times New Roman"/>
          <w:sz w:val="24"/>
          <w:szCs w:val="24"/>
        </w:rPr>
        <w:t>Hadrill</w:t>
      </w:r>
      <w:proofErr w:type="spellEnd"/>
      <w:r w:rsidRPr="00FC780B">
        <w:rPr>
          <w:rFonts w:ascii="Times New Roman" w:hAnsi="Times New Roman" w:cs="Times New Roman"/>
          <w:sz w:val="24"/>
          <w:szCs w:val="24"/>
        </w:rPr>
        <w:t xml:space="preserve">, eds., </w:t>
      </w:r>
      <w:r w:rsidRPr="00FC780B">
        <w:rPr>
          <w:rFonts w:ascii="Times New Roman" w:hAnsi="Times New Roman" w:cs="Times New Roman"/>
          <w:i/>
          <w:iCs/>
          <w:sz w:val="24"/>
          <w:szCs w:val="24"/>
        </w:rPr>
        <w:t>Domestic</w:t>
      </w:r>
      <w:r w:rsidRPr="00380D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780B">
        <w:rPr>
          <w:rFonts w:ascii="Times New Roman" w:hAnsi="Times New Roman" w:cs="Times New Roman"/>
          <w:i/>
          <w:iCs/>
          <w:sz w:val="24"/>
          <w:szCs w:val="24"/>
        </w:rPr>
        <w:t xml:space="preserve">Space in the Roman World: Pompeii and Beyond </w:t>
      </w:r>
      <w:r w:rsidRPr="00FC780B">
        <w:rPr>
          <w:rFonts w:ascii="Times New Roman" w:hAnsi="Times New Roman" w:cs="Times New Roman"/>
          <w:sz w:val="24"/>
          <w:szCs w:val="24"/>
        </w:rPr>
        <w:t>(Portsmouth, 1997).</w:t>
      </w:r>
    </w:p>
    <w:p w14:paraId="67AB4D95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C780B">
        <w:rPr>
          <w:rFonts w:ascii="Times New Roman" w:hAnsi="Times New Roman" w:cs="Times New Roman"/>
          <w:sz w:val="24"/>
          <w:szCs w:val="24"/>
        </w:rPr>
        <w:t xml:space="preserve">Grahame, M. </w:t>
      </w:r>
      <w:r w:rsidRPr="00FC780B">
        <w:rPr>
          <w:rFonts w:ascii="Times New Roman" w:hAnsi="Times New Roman" w:cs="Times New Roman"/>
          <w:i/>
          <w:iCs/>
          <w:sz w:val="24"/>
          <w:szCs w:val="24"/>
        </w:rPr>
        <w:t>Reading Space. Social Interaction and Identity in the Houses of Roman</w:t>
      </w:r>
    </w:p>
    <w:p w14:paraId="31CC3F2C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780B">
        <w:rPr>
          <w:rFonts w:ascii="Times New Roman" w:hAnsi="Times New Roman" w:cs="Times New Roman"/>
          <w:i/>
          <w:iCs/>
          <w:sz w:val="24"/>
          <w:szCs w:val="24"/>
        </w:rPr>
        <w:t xml:space="preserve">Pompeii. </w:t>
      </w:r>
      <w:proofErr w:type="gramStart"/>
      <w:r>
        <w:rPr>
          <w:rFonts w:ascii="Times New Roman" w:hAnsi="Times New Roman" w:cs="Times New Roman"/>
          <w:sz w:val="24"/>
          <w:szCs w:val="24"/>
        </w:rPr>
        <w:t>Oxford, 2000.</w:t>
      </w:r>
      <w:proofErr w:type="gramEnd"/>
    </w:p>
    <w:p w14:paraId="03A03FFF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C780B">
        <w:rPr>
          <w:rFonts w:ascii="Times New Roman" w:hAnsi="Times New Roman" w:cs="Times New Roman"/>
          <w:sz w:val="24"/>
          <w:szCs w:val="24"/>
        </w:rPr>
        <w:t>Hales, S.</w:t>
      </w:r>
      <w:proofErr w:type="gramEnd"/>
      <w:r w:rsidRPr="00FC780B">
        <w:rPr>
          <w:rFonts w:ascii="Times New Roman" w:hAnsi="Times New Roman" w:cs="Times New Roman"/>
          <w:sz w:val="24"/>
          <w:szCs w:val="24"/>
        </w:rPr>
        <w:t xml:space="preserve"> </w:t>
      </w:r>
      <w:r w:rsidRPr="00FC780B">
        <w:rPr>
          <w:rFonts w:ascii="Times New Roman" w:hAnsi="Times New Roman" w:cs="Times New Roman"/>
          <w:i/>
          <w:iCs/>
          <w:sz w:val="24"/>
          <w:szCs w:val="24"/>
        </w:rPr>
        <w:t>The Roman House and Social Identity</w:t>
      </w:r>
      <w:r w:rsidRPr="00FC78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C780B">
        <w:rPr>
          <w:rFonts w:ascii="Times New Roman" w:hAnsi="Times New Roman" w:cs="Times New Roman"/>
          <w:sz w:val="24"/>
          <w:szCs w:val="24"/>
        </w:rPr>
        <w:t>Cambridge, 2003.</w:t>
      </w:r>
      <w:proofErr w:type="gramEnd"/>
    </w:p>
    <w:p w14:paraId="35C3D847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C780B">
        <w:rPr>
          <w:rFonts w:ascii="Times New Roman" w:hAnsi="Times New Roman" w:cs="Times New Roman"/>
          <w:sz w:val="24"/>
          <w:szCs w:val="24"/>
        </w:rPr>
        <w:t>Hiller, B and Hanson, J.</w:t>
      </w:r>
      <w:proofErr w:type="gramEnd"/>
      <w:r w:rsidRPr="00FC7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780B">
        <w:rPr>
          <w:rFonts w:ascii="Times New Roman" w:hAnsi="Times New Roman" w:cs="Times New Roman"/>
          <w:i/>
          <w:iCs/>
          <w:sz w:val="24"/>
          <w:szCs w:val="24"/>
        </w:rPr>
        <w:t>The Social Logic of Space</w:t>
      </w:r>
      <w:r w:rsidRPr="00FC78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7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780B">
        <w:rPr>
          <w:rFonts w:ascii="Times New Roman" w:hAnsi="Times New Roman" w:cs="Times New Roman"/>
          <w:sz w:val="24"/>
          <w:szCs w:val="24"/>
        </w:rPr>
        <w:t>Cambridge, 1984.</w:t>
      </w:r>
      <w:proofErr w:type="gramEnd"/>
    </w:p>
    <w:p w14:paraId="354CEFF0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C780B">
        <w:rPr>
          <w:rFonts w:ascii="Times New Roman" w:hAnsi="Times New Roman" w:cs="Times New Roman"/>
          <w:sz w:val="24"/>
          <w:szCs w:val="24"/>
        </w:rPr>
        <w:t xml:space="preserve">Kent. S., ed. </w:t>
      </w:r>
      <w:r w:rsidRPr="00FC780B">
        <w:rPr>
          <w:rFonts w:ascii="Times New Roman" w:hAnsi="Times New Roman" w:cs="Times New Roman"/>
          <w:i/>
          <w:iCs/>
          <w:sz w:val="24"/>
          <w:szCs w:val="24"/>
        </w:rPr>
        <w:t>Domestic Architecture and the Use of Space: An Interdisciplinary Cross-</w:t>
      </w:r>
    </w:p>
    <w:p w14:paraId="639DA35A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780B">
        <w:rPr>
          <w:rFonts w:ascii="Times New Roman" w:hAnsi="Times New Roman" w:cs="Times New Roman"/>
          <w:i/>
          <w:iCs/>
          <w:sz w:val="24"/>
          <w:szCs w:val="24"/>
        </w:rPr>
        <w:t>Cultural Study</w:t>
      </w:r>
      <w:r w:rsidRPr="00FC78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C780B">
        <w:rPr>
          <w:rFonts w:ascii="Times New Roman" w:hAnsi="Times New Roman" w:cs="Times New Roman"/>
          <w:sz w:val="24"/>
          <w:szCs w:val="24"/>
        </w:rPr>
        <w:t>Cambridge, 1990.</w:t>
      </w:r>
      <w:proofErr w:type="gramEnd"/>
    </w:p>
    <w:p w14:paraId="31909361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C780B">
        <w:rPr>
          <w:rFonts w:ascii="Times New Roman" w:hAnsi="Times New Roman" w:cs="Times New Roman"/>
          <w:sz w:val="24"/>
          <w:szCs w:val="24"/>
        </w:rPr>
        <w:t>Laurence, R. “Space and Text” in Laurence, R., and A. Wallace-</w:t>
      </w:r>
      <w:proofErr w:type="spellStart"/>
      <w:r w:rsidRPr="00FC780B">
        <w:rPr>
          <w:rFonts w:ascii="Times New Roman" w:hAnsi="Times New Roman" w:cs="Times New Roman"/>
          <w:sz w:val="24"/>
          <w:szCs w:val="24"/>
        </w:rPr>
        <w:t>Hadrill</w:t>
      </w:r>
      <w:proofErr w:type="spellEnd"/>
      <w:r w:rsidRPr="00FC780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C780B">
        <w:rPr>
          <w:rFonts w:ascii="Times New Roman" w:hAnsi="Times New Roman" w:cs="Times New Roman"/>
          <w:sz w:val="24"/>
          <w:szCs w:val="24"/>
        </w:rPr>
        <w:t>eds</w:t>
      </w:r>
      <w:proofErr w:type="gramEnd"/>
      <w:r w:rsidRPr="00FC780B">
        <w:rPr>
          <w:rFonts w:ascii="Times New Roman" w:hAnsi="Times New Roman" w:cs="Times New Roman"/>
          <w:sz w:val="24"/>
          <w:szCs w:val="24"/>
        </w:rPr>
        <w:t xml:space="preserve">. </w:t>
      </w:r>
      <w:r w:rsidRPr="00FC780B">
        <w:rPr>
          <w:rFonts w:ascii="Times New Roman" w:hAnsi="Times New Roman" w:cs="Times New Roman"/>
          <w:i/>
          <w:iCs/>
          <w:sz w:val="24"/>
          <w:szCs w:val="24"/>
        </w:rPr>
        <w:t>Domestic</w:t>
      </w:r>
    </w:p>
    <w:p w14:paraId="1272C85B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780B">
        <w:rPr>
          <w:rFonts w:ascii="Times New Roman" w:hAnsi="Times New Roman" w:cs="Times New Roman"/>
          <w:i/>
          <w:iCs/>
          <w:sz w:val="24"/>
          <w:szCs w:val="24"/>
        </w:rPr>
        <w:t>Space in the Roman World: Pompeii and Beyond</w:t>
      </w:r>
      <w:r w:rsidRPr="00FC78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C780B">
        <w:rPr>
          <w:rFonts w:ascii="Times New Roman" w:hAnsi="Times New Roman" w:cs="Times New Roman"/>
          <w:sz w:val="24"/>
          <w:szCs w:val="24"/>
        </w:rPr>
        <w:t>Portsmouth, 1997.</w:t>
      </w:r>
      <w:proofErr w:type="gramEnd"/>
    </w:p>
    <w:p w14:paraId="587D15E9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FC780B">
        <w:rPr>
          <w:rFonts w:ascii="Times New Roman" w:hAnsi="Times New Roman" w:cs="Times New Roman"/>
          <w:sz w:val="24"/>
          <w:szCs w:val="24"/>
        </w:rPr>
        <w:t>Leach, E.W.</w:t>
      </w:r>
      <w:proofErr w:type="gramEnd"/>
      <w:r w:rsidRPr="00FC7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780B">
        <w:rPr>
          <w:rFonts w:ascii="Times New Roman" w:hAnsi="Times New Roman" w:cs="Times New Roman"/>
          <w:i/>
          <w:iCs/>
          <w:sz w:val="24"/>
          <w:szCs w:val="24"/>
        </w:rPr>
        <w:t>The Social Life of Painting in Ancient Rome and on the Bay of Naples.</w:t>
      </w:r>
      <w:proofErr w:type="gramEnd"/>
    </w:p>
    <w:p w14:paraId="51BE7717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C780B">
        <w:rPr>
          <w:rFonts w:ascii="Times New Roman" w:hAnsi="Times New Roman" w:cs="Times New Roman"/>
          <w:sz w:val="24"/>
          <w:szCs w:val="24"/>
        </w:rPr>
        <w:t>Cambridge, 2004.</w:t>
      </w:r>
      <w:proofErr w:type="gramEnd"/>
    </w:p>
    <w:p w14:paraId="12EB9955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C780B">
        <w:rPr>
          <w:rFonts w:ascii="Times New Roman" w:hAnsi="Times New Roman" w:cs="Times New Roman"/>
          <w:sz w:val="24"/>
          <w:szCs w:val="24"/>
        </w:rPr>
        <w:t>Leach, E. W. 1997.</w:t>
      </w:r>
      <w:proofErr w:type="gramEnd"/>
      <w:r w:rsidRPr="00FC780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C780B">
        <w:rPr>
          <w:rFonts w:ascii="Times New Roman" w:hAnsi="Times New Roman" w:cs="Times New Roman"/>
          <w:sz w:val="24"/>
          <w:szCs w:val="24"/>
        </w:rPr>
        <w:t>Oecus</w:t>
      </w:r>
      <w:proofErr w:type="spellEnd"/>
      <w:r w:rsidRPr="00FC780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C780B">
        <w:rPr>
          <w:rFonts w:ascii="Times New Roman" w:hAnsi="Times New Roman" w:cs="Times New Roman"/>
          <w:sz w:val="24"/>
          <w:szCs w:val="24"/>
        </w:rPr>
        <w:t>Ibycus</w:t>
      </w:r>
      <w:proofErr w:type="spellEnd"/>
      <w:r w:rsidRPr="00FC780B">
        <w:rPr>
          <w:rFonts w:ascii="Times New Roman" w:hAnsi="Times New Roman" w:cs="Times New Roman"/>
          <w:sz w:val="24"/>
          <w:szCs w:val="24"/>
        </w:rPr>
        <w:t>: investigating the vocabulary of the Roman house."</w:t>
      </w:r>
    </w:p>
    <w:p w14:paraId="7365FB89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C780B">
        <w:rPr>
          <w:rFonts w:ascii="Times New Roman" w:hAnsi="Times New Roman" w:cs="Times New Roman"/>
          <w:sz w:val="24"/>
          <w:szCs w:val="24"/>
        </w:rPr>
        <w:t xml:space="preserve">In S. Bon and R. Jones, </w:t>
      </w:r>
      <w:r>
        <w:rPr>
          <w:rFonts w:ascii="Times New Roman" w:hAnsi="Times New Roman" w:cs="Times New Roman"/>
          <w:i/>
          <w:iCs/>
          <w:sz w:val="24"/>
          <w:szCs w:val="24"/>
        </w:rPr>
        <w:t>Sequence and S</w:t>
      </w:r>
      <w:r w:rsidRPr="00FC780B">
        <w:rPr>
          <w:rFonts w:ascii="Times New Roman" w:hAnsi="Times New Roman" w:cs="Times New Roman"/>
          <w:i/>
          <w:iCs/>
          <w:sz w:val="24"/>
          <w:szCs w:val="24"/>
        </w:rPr>
        <w:t>pace in Pompeii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(Oxford, 1997)</w:t>
      </w:r>
      <w:r w:rsidRPr="00FC780B">
        <w:rPr>
          <w:rFonts w:ascii="Times New Roman" w:hAnsi="Times New Roman" w:cs="Times New Roman"/>
          <w:sz w:val="24"/>
          <w:szCs w:val="24"/>
        </w:rPr>
        <w:t xml:space="preserve"> 50-72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A6FB6AC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C780B">
        <w:rPr>
          <w:rFonts w:ascii="Times New Roman" w:hAnsi="Times New Roman" w:cs="Times New Roman"/>
          <w:sz w:val="24"/>
          <w:szCs w:val="24"/>
        </w:rPr>
        <w:lastRenderedPageBreak/>
        <w:t>Montello, D. R. (2007).</w:t>
      </w:r>
      <w:proofErr w:type="gramEnd"/>
      <w:r w:rsidRPr="00FC780B">
        <w:rPr>
          <w:rFonts w:ascii="Times New Roman" w:hAnsi="Times New Roman" w:cs="Times New Roman"/>
          <w:sz w:val="24"/>
          <w:szCs w:val="24"/>
        </w:rPr>
        <w:t xml:space="preserve"> “The contribution of space syntax to a comprehensive theory of</w:t>
      </w:r>
    </w:p>
    <w:p w14:paraId="1ABFC0B9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C780B">
        <w:rPr>
          <w:rFonts w:ascii="Times New Roman" w:hAnsi="Times New Roman" w:cs="Times New Roman"/>
          <w:sz w:val="24"/>
          <w:szCs w:val="24"/>
        </w:rPr>
        <w:t>environmental</w:t>
      </w:r>
      <w:proofErr w:type="gramEnd"/>
      <w:r w:rsidRPr="00FC780B">
        <w:rPr>
          <w:rFonts w:ascii="Times New Roman" w:hAnsi="Times New Roman" w:cs="Times New Roman"/>
          <w:sz w:val="24"/>
          <w:szCs w:val="24"/>
        </w:rPr>
        <w:t xml:space="preserve"> psychology.” In A. S. </w:t>
      </w:r>
      <w:proofErr w:type="spellStart"/>
      <w:r w:rsidRPr="00FC780B">
        <w:rPr>
          <w:rFonts w:ascii="Times New Roman" w:hAnsi="Times New Roman" w:cs="Times New Roman"/>
          <w:sz w:val="24"/>
          <w:szCs w:val="24"/>
        </w:rPr>
        <w:t>Kubat</w:t>
      </w:r>
      <w:proofErr w:type="spellEnd"/>
      <w:r w:rsidRPr="00FC780B">
        <w:rPr>
          <w:rFonts w:ascii="Times New Roman" w:hAnsi="Times New Roman" w:cs="Times New Roman"/>
          <w:sz w:val="24"/>
          <w:szCs w:val="24"/>
        </w:rPr>
        <w:t xml:space="preserve">, Ö. </w:t>
      </w:r>
      <w:proofErr w:type="spellStart"/>
      <w:r w:rsidRPr="00FC780B">
        <w:rPr>
          <w:rFonts w:ascii="Times New Roman" w:hAnsi="Times New Roman" w:cs="Times New Roman"/>
          <w:sz w:val="24"/>
          <w:szCs w:val="24"/>
        </w:rPr>
        <w:t>Ertekin</w:t>
      </w:r>
      <w:proofErr w:type="spellEnd"/>
      <w:r w:rsidRPr="00FC780B">
        <w:rPr>
          <w:rFonts w:ascii="Times New Roman" w:hAnsi="Times New Roman" w:cs="Times New Roman"/>
          <w:sz w:val="24"/>
          <w:szCs w:val="24"/>
        </w:rPr>
        <w:t xml:space="preserve">, Y. I. </w:t>
      </w:r>
      <w:proofErr w:type="spellStart"/>
      <w:r w:rsidRPr="00FC780B">
        <w:rPr>
          <w:rFonts w:ascii="Times New Roman" w:hAnsi="Times New Roman" w:cs="Times New Roman"/>
          <w:sz w:val="24"/>
          <w:szCs w:val="24"/>
        </w:rPr>
        <w:t>Güney</w:t>
      </w:r>
      <w:proofErr w:type="spellEnd"/>
      <w:r w:rsidRPr="00FC780B">
        <w:rPr>
          <w:rFonts w:ascii="Times New Roman" w:hAnsi="Times New Roman" w:cs="Times New Roman"/>
          <w:sz w:val="24"/>
          <w:szCs w:val="24"/>
        </w:rPr>
        <w:t>, &amp; E.</w:t>
      </w:r>
    </w:p>
    <w:p w14:paraId="495143AF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C780B">
        <w:rPr>
          <w:rFonts w:ascii="Times New Roman" w:hAnsi="Times New Roman" w:cs="Times New Roman"/>
          <w:sz w:val="24"/>
          <w:szCs w:val="24"/>
        </w:rPr>
        <w:t>Eyüboğlu</w:t>
      </w:r>
      <w:proofErr w:type="spellEnd"/>
      <w:r w:rsidRPr="00FC780B">
        <w:rPr>
          <w:rFonts w:ascii="Times New Roman" w:hAnsi="Times New Roman" w:cs="Times New Roman"/>
          <w:sz w:val="24"/>
          <w:szCs w:val="24"/>
        </w:rPr>
        <w:t xml:space="preserve"> (Eds.), 6th International Space Syntax Symposium Proceedings (pp. iv-</w:t>
      </w:r>
    </w:p>
    <w:p w14:paraId="4D9E7F8B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C780B">
        <w:rPr>
          <w:rFonts w:ascii="Times New Roman" w:hAnsi="Times New Roman" w:cs="Times New Roman"/>
          <w:sz w:val="24"/>
          <w:szCs w:val="24"/>
        </w:rPr>
        <w:t>1–iv-12).</w:t>
      </w:r>
      <w:proofErr w:type="gramEnd"/>
      <w:r w:rsidRPr="00FC780B">
        <w:rPr>
          <w:rFonts w:ascii="Times New Roman" w:hAnsi="Times New Roman" w:cs="Times New Roman"/>
          <w:sz w:val="24"/>
          <w:szCs w:val="24"/>
        </w:rPr>
        <w:t xml:space="preserve"> Istanbul, ITÜ Faculty of Architecture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8FD1B5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C780B">
        <w:rPr>
          <w:rFonts w:ascii="Times New Roman" w:hAnsi="Times New Roman" w:cs="Times New Roman"/>
          <w:sz w:val="24"/>
          <w:szCs w:val="24"/>
        </w:rPr>
        <w:t>Riggsby</w:t>
      </w:r>
      <w:proofErr w:type="spellEnd"/>
      <w:r w:rsidRPr="00FC780B">
        <w:rPr>
          <w:rFonts w:ascii="Times New Roman" w:hAnsi="Times New Roman" w:cs="Times New Roman"/>
          <w:sz w:val="24"/>
          <w:szCs w:val="24"/>
        </w:rPr>
        <w:t>, A. “Plin</w:t>
      </w:r>
      <w:r>
        <w:rPr>
          <w:rFonts w:ascii="Times New Roman" w:hAnsi="Times New Roman" w:cs="Times New Roman"/>
          <w:sz w:val="24"/>
          <w:szCs w:val="24"/>
        </w:rPr>
        <w:t>y in Space (and Time)” Arethusa 36, 2 (</w:t>
      </w:r>
      <w:r w:rsidRPr="00FC780B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>) 167-186</w:t>
      </w:r>
      <w:r w:rsidRPr="00FC780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C6D0145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80B">
        <w:rPr>
          <w:rFonts w:ascii="Times New Roman" w:hAnsi="Times New Roman" w:cs="Times New Roman"/>
          <w:sz w:val="24"/>
          <w:szCs w:val="24"/>
        </w:rPr>
        <w:t>Riggsby</w:t>
      </w:r>
      <w:proofErr w:type="spellEnd"/>
      <w:r w:rsidRPr="00FC780B">
        <w:rPr>
          <w:rFonts w:ascii="Times New Roman" w:hAnsi="Times New Roman" w:cs="Times New Roman"/>
          <w:sz w:val="24"/>
          <w:szCs w:val="24"/>
        </w:rPr>
        <w:t>, A. “'Public' and 'private' in Roman culture: the case of the cubiculum” Journal</w:t>
      </w:r>
    </w:p>
    <w:p w14:paraId="6CD678D9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C780B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FC780B">
        <w:rPr>
          <w:rFonts w:ascii="Times New Roman" w:hAnsi="Times New Roman" w:cs="Times New Roman"/>
          <w:sz w:val="24"/>
          <w:szCs w:val="24"/>
        </w:rPr>
        <w:t xml:space="preserve"> Roman archaeology 10 (1997) 36-56.</w:t>
      </w:r>
    </w:p>
    <w:p w14:paraId="7AE7134A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C780B">
        <w:rPr>
          <w:rFonts w:ascii="Times New Roman" w:hAnsi="Times New Roman" w:cs="Times New Roman"/>
          <w:sz w:val="24"/>
          <w:szCs w:val="24"/>
        </w:rPr>
        <w:t xml:space="preserve">Taylor, R. Review of Grahame, M. </w:t>
      </w:r>
      <w:r w:rsidRPr="00FC780B">
        <w:rPr>
          <w:rFonts w:ascii="Times New Roman" w:hAnsi="Times New Roman" w:cs="Times New Roman"/>
          <w:i/>
          <w:iCs/>
          <w:sz w:val="24"/>
          <w:szCs w:val="24"/>
        </w:rPr>
        <w:t>Reading Space. Social Interaction and Identity in the</w:t>
      </w:r>
    </w:p>
    <w:p w14:paraId="0DDC04D5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Houses of Roman Pompeii.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FC780B">
        <w:rPr>
          <w:rFonts w:ascii="Times New Roman" w:hAnsi="Times New Roman" w:cs="Times New Roman"/>
          <w:sz w:val="24"/>
          <w:szCs w:val="24"/>
        </w:rPr>
        <w:t>Journal of Roma</w:t>
      </w:r>
      <w:r>
        <w:rPr>
          <w:rFonts w:ascii="Times New Roman" w:hAnsi="Times New Roman" w:cs="Times New Roman"/>
          <w:sz w:val="24"/>
          <w:szCs w:val="24"/>
        </w:rPr>
        <w:t>n Archaeology 15 (2000)</w:t>
      </w:r>
      <w:r w:rsidRPr="00FC780B">
        <w:rPr>
          <w:rFonts w:ascii="Times New Roman" w:hAnsi="Times New Roman" w:cs="Times New Roman"/>
          <w:sz w:val="24"/>
          <w:szCs w:val="24"/>
        </w:rPr>
        <w:t xml:space="preserve"> 439-444.</w:t>
      </w:r>
      <w:proofErr w:type="gramEnd"/>
    </w:p>
    <w:p w14:paraId="4CB21819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C780B">
        <w:rPr>
          <w:rFonts w:ascii="Times New Roman" w:hAnsi="Times New Roman" w:cs="Times New Roman"/>
          <w:sz w:val="24"/>
          <w:szCs w:val="24"/>
        </w:rPr>
        <w:t>Wallace-</w:t>
      </w:r>
      <w:proofErr w:type="spellStart"/>
      <w:r w:rsidRPr="00FC780B">
        <w:rPr>
          <w:rFonts w:ascii="Times New Roman" w:hAnsi="Times New Roman" w:cs="Times New Roman"/>
          <w:sz w:val="24"/>
          <w:szCs w:val="24"/>
        </w:rPr>
        <w:t>Hadrill</w:t>
      </w:r>
      <w:proofErr w:type="spellEnd"/>
      <w:r w:rsidRPr="00FC780B">
        <w:rPr>
          <w:rFonts w:ascii="Times New Roman" w:hAnsi="Times New Roman" w:cs="Times New Roman"/>
          <w:sz w:val="24"/>
          <w:szCs w:val="24"/>
        </w:rPr>
        <w:t>, eds</w:t>
      </w:r>
      <w:proofErr w:type="gramStart"/>
      <w:r w:rsidRPr="00FC780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C780B">
        <w:rPr>
          <w:rFonts w:ascii="Times New Roman" w:hAnsi="Times New Roman" w:cs="Times New Roman"/>
          <w:sz w:val="24"/>
          <w:szCs w:val="24"/>
        </w:rPr>
        <w:t xml:space="preserve"> </w:t>
      </w:r>
      <w:r w:rsidRPr="00FC780B">
        <w:rPr>
          <w:rFonts w:ascii="Times New Roman" w:hAnsi="Times New Roman" w:cs="Times New Roman"/>
          <w:i/>
          <w:iCs/>
          <w:sz w:val="24"/>
          <w:szCs w:val="24"/>
        </w:rPr>
        <w:t>Domestic Space in the Roman World: Pompeii and Beyond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753642D" w14:textId="77777777" w:rsidR="00F82205" w:rsidRPr="00FC780B" w:rsidRDefault="00F82205" w:rsidP="00C169B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Portsmouth, 1997</w:t>
      </w:r>
      <w:r w:rsidRPr="00FC780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536FE2C" w14:textId="77777777" w:rsidR="00F82205" w:rsidRPr="00FC780B" w:rsidRDefault="00F82205" w:rsidP="00F82205">
      <w:pPr>
        <w:rPr>
          <w:rFonts w:ascii="Times New Roman" w:hAnsi="Times New Roman" w:cs="Times New Roman"/>
          <w:sz w:val="24"/>
          <w:szCs w:val="24"/>
        </w:rPr>
      </w:pPr>
    </w:p>
    <w:p w14:paraId="29C1A013" w14:textId="77777777" w:rsidR="00F82205" w:rsidRPr="00F82205" w:rsidRDefault="00F82205" w:rsidP="00456F42">
      <w:pPr>
        <w:rPr>
          <w:rFonts w:ascii="Times New Roman" w:hAnsi="Times New Roman" w:cs="Times New Roman"/>
          <w:sz w:val="24"/>
          <w:szCs w:val="24"/>
        </w:rPr>
      </w:pPr>
    </w:p>
    <w:sectPr w:rsidR="00F82205" w:rsidRPr="00F82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42"/>
    <w:rsid w:val="001369E9"/>
    <w:rsid w:val="002F7474"/>
    <w:rsid w:val="00456F42"/>
    <w:rsid w:val="007A64B1"/>
    <w:rsid w:val="00B868C4"/>
    <w:rsid w:val="00C169BC"/>
    <w:rsid w:val="00D551A7"/>
    <w:rsid w:val="00F8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E08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3829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Emily M Sandquist</cp:lastModifiedBy>
  <cp:revision>3</cp:revision>
  <dcterms:created xsi:type="dcterms:W3CDTF">2011-09-22T12:52:00Z</dcterms:created>
  <dcterms:modified xsi:type="dcterms:W3CDTF">2011-09-30T15:39:00Z</dcterms:modified>
</cp:coreProperties>
</file>